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BC1F4" w14:textId="77777777" w:rsidR="00505347" w:rsidRDefault="008F4029">
      <w:pPr>
        <w:pStyle w:val="Header"/>
        <w:tabs>
          <w:tab w:val="right" w:pos="9639"/>
        </w:tabs>
        <w:rPr>
          <w:bCs/>
          <w:sz w:val="28"/>
          <w:szCs w:val="28"/>
          <w:lang w:eastAsia="zh-CN"/>
        </w:rPr>
      </w:pPr>
      <w:bookmarkStart w:id="0" w:name="_GoBack"/>
      <w:bookmarkEnd w:id="0"/>
      <w:r>
        <w:rPr>
          <w:bCs/>
          <w:sz w:val="28"/>
          <w:szCs w:val="28"/>
        </w:rPr>
        <w:t>3GPP T</w:t>
      </w:r>
      <w:bookmarkStart w:id="1" w:name="_Ref452454252"/>
      <w:bookmarkEnd w:id="1"/>
      <w:r>
        <w:rPr>
          <w:bCs/>
          <w:sz w:val="28"/>
          <w:szCs w:val="28"/>
        </w:rPr>
        <w:t xml:space="preserve">SG RAN </w:t>
      </w:r>
      <w:r>
        <w:rPr>
          <w:sz w:val="28"/>
          <w:szCs w:val="28"/>
        </w:rPr>
        <w:t>WG1 Meeting #9</w:t>
      </w:r>
      <w:r>
        <w:rPr>
          <w:rFonts w:hint="eastAsia"/>
          <w:sz w:val="28"/>
          <w:szCs w:val="28"/>
          <w:lang w:eastAsia="zh-CN"/>
        </w:rPr>
        <w:t>2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eastAsia="zh-CN"/>
        </w:rPr>
        <w:t>R1-1</w:t>
      </w:r>
      <w:r>
        <w:rPr>
          <w:rFonts w:hint="eastAsia"/>
          <w:bCs/>
          <w:sz w:val="28"/>
          <w:szCs w:val="28"/>
          <w:lang w:eastAsia="zh-CN"/>
        </w:rPr>
        <w:t>8</w:t>
      </w:r>
      <w:r>
        <w:rPr>
          <w:bCs/>
          <w:sz w:val="28"/>
          <w:szCs w:val="28"/>
          <w:lang w:eastAsia="zh-CN"/>
        </w:rPr>
        <w:t>01477</w:t>
      </w:r>
    </w:p>
    <w:p w14:paraId="3F6C7A84" w14:textId="77777777" w:rsidR="00505347" w:rsidRDefault="008F4029">
      <w:pPr>
        <w:pStyle w:val="Header"/>
        <w:tabs>
          <w:tab w:val="right" w:pos="9639"/>
        </w:tabs>
        <w:rPr>
          <w:bCs/>
          <w:sz w:val="28"/>
          <w:szCs w:val="28"/>
        </w:rPr>
      </w:pPr>
      <w:r>
        <w:rPr>
          <w:rFonts w:eastAsia="MS Mincho"/>
          <w:bCs/>
          <w:sz w:val="28"/>
          <w:szCs w:val="28"/>
        </w:rPr>
        <w:t>Athens, Greece, February 26th – March 2nd, 201</w:t>
      </w:r>
      <w:r>
        <w:rPr>
          <w:bCs/>
          <w:sz w:val="28"/>
          <w:szCs w:val="28"/>
          <w:lang w:eastAsia="ja-JP"/>
        </w:rPr>
        <w:t>8</w:t>
      </w:r>
    </w:p>
    <w:p w14:paraId="3FA501BB" w14:textId="77777777" w:rsidR="00505347" w:rsidRDefault="00505347">
      <w:pPr>
        <w:pStyle w:val="Header"/>
        <w:rPr>
          <w:bCs/>
          <w:sz w:val="24"/>
          <w:lang w:eastAsia="ja-JP"/>
        </w:rPr>
      </w:pPr>
    </w:p>
    <w:p w14:paraId="38402C5D" w14:textId="77777777" w:rsidR="00505347" w:rsidRDefault="008F4029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>Evaluation of blockage in eV2X Channel Model for modeling eV2X blockage</w:t>
      </w:r>
    </w:p>
    <w:p w14:paraId="10F2C5ED" w14:textId="77777777" w:rsidR="00505347" w:rsidRDefault="008F40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ZTE,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Sanechips</w:t>
      </w:r>
      <w:proofErr w:type="spellEnd"/>
    </w:p>
    <w:p w14:paraId="4C9FDC47" w14:textId="77777777" w:rsidR="00505347" w:rsidRDefault="008F4029">
      <w:pPr>
        <w:pStyle w:val="CRCoverPage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fi-FI"/>
        </w:rPr>
        <w:t>7.5.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</w:p>
    <w:p w14:paraId="2BD27F10" w14:textId="77777777" w:rsidR="00505347" w:rsidRDefault="008F4029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45615889" w14:textId="77777777" w:rsidR="00505347" w:rsidRDefault="008F4029">
      <w:pPr>
        <w:pStyle w:val="Heading1"/>
        <w:rPr>
          <w:lang w:val="en-US"/>
        </w:rPr>
      </w:pPr>
      <w:r>
        <w:rPr>
          <w:lang w:val="en-US"/>
        </w:rPr>
        <w:t>1Introduction</w:t>
      </w:r>
    </w:p>
    <w:p w14:paraId="428E63CD" w14:textId="77777777" w:rsidR="00505347" w:rsidRDefault="008F4029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During the RAN #76 plenary meeting, it is agreed to study evaluation methodology of new use cases for LTE and NR. Two objectives were put forward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[1]:</w:t>
      </w:r>
    </w:p>
    <w:p w14:paraId="6B9775C1" w14:textId="77777777" w:rsidR="00505347" w:rsidRDefault="008F4029">
      <w:pPr>
        <w:numPr>
          <w:ilvl w:val="0"/>
          <w:numId w:val="2"/>
        </w:numPr>
        <w:overflowPunct/>
        <w:autoSpaceDE/>
        <w:autoSpaceDN/>
        <w:adjustRightInd/>
        <w:spacing w:line="240" w:lineRule="auto"/>
        <w:jc w:val="both"/>
        <w:textAlignment w:val="auto"/>
        <w:rPr>
          <w:lang w:eastAsia="zh-CN"/>
        </w:rPr>
      </w:pPr>
      <w:r>
        <w:rPr>
          <w:lang w:eastAsia="ko-KR"/>
        </w:rPr>
        <w:t xml:space="preserve">Complete the evaluation methodology in TR38.913 and TR38.802 to compare the performance of different technical options for the new 5G V2X use cases </w:t>
      </w:r>
      <w:r>
        <w:rPr>
          <w:rFonts w:hint="eastAsia"/>
          <w:lang w:eastAsia="ko-KR"/>
        </w:rPr>
        <w:t xml:space="preserve">including the following aspects </w:t>
      </w:r>
      <w:r>
        <w:rPr>
          <w:lang w:eastAsia="ko-KR"/>
        </w:rPr>
        <w:t>[RAN1</w:t>
      </w:r>
      <w:r>
        <w:rPr>
          <w:rFonts w:hint="eastAsia"/>
          <w:lang w:eastAsia="ko-KR"/>
        </w:rPr>
        <w:t>, starting email discussion after RAN#76</w:t>
      </w:r>
      <w:r>
        <w:rPr>
          <w:lang w:eastAsia="ko-KR"/>
        </w:rPr>
        <w:t>]</w:t>
      </w:r>
      <w:r>
        <w:rPr>
          <w:rFonts w:hint="eastAsia"/>
          <w:lang w:eastAsia="ko-KR"/>
        </w:rPr>
        <w:t>:</w:t>
      </w:r>
    </w:p>
    <w:p w14:paraId="2C8D557D" w14:textId="77777777" w:rsidR="00505347" w:rsidRDefault="008F4029">
      <w:pPr>
        <w:numPr>
          <w:ilvl w:val="1"/>
          <w:numId w:val="2"/>
        </w:numPr>
        <w:overflowPunct/>
        <w:autoSpaceDE/>
        <w:autoSpaceDN/>
        <w:adjustRightInd/>
        <w:spacing w:line="240" w:lineRule="auto"/>
        <w:jc w:val="both"/>
        <w:textAlignment w:val="auto"/>
        <w:rPr>
          <w:lang w:eastAsia="zh-CN"/>
        </w:rPr>
      </w:pPr>
      <w:r>
        <w:rPr>
          <w:rFonts w:hint="eastAsia"/>
          <w:lang w:eastAsia="ko-KR"/>
        </w:rPr>
        <w:t>Evaluation scenarios including performance metric, vehicle dropping, traffic model</w:t>
      </w:r>
    </w:p>
    <w:p w14:paraId="4515774C" w14:textId="77777777" w:rsidR="00505347" w:rsidRDefault="008F4029">
      <w:pPr>
        <w:numPr>
          <w:ilvl w:val="1"/>
          <w:numId w:val="2"/>
        </w:numPr>
        <w:overflowPunct/>
        <w:autoSpaceDE/>
        <w:autoSpaceDN/>
        <w:adjustRightInd/>
        <w:spacing w:line="240" w:lineRule="auto"/>
        <w:jc w:val="both"/>
        <w:textAlignment w:val="auto"/>
        <w:rPr>
          <w:lang w:eastAsia="zh-CN"/>
        </w:rPr>
      </w:pPr>
      <w:proofErr w:type="spellStart"/>
      <w:r>
        <w:rPr>
          <w:rFonts w:hint="eastAsia"/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channel model for spectrum above 6 GHz</w:t>
      </w:r>
    </w:p>
    <w:p w14:paraId="638E851C" w14:textId="77777777" w:rsidR="00505347" w:rsidRDefault="008F4029">
      <w:pPr>
        <w:numPr>
          <w:ilvl w:val="0"/>
          <w:numId w:val="2"/>
        </w:numPr>
        <w:overflowPunct/>
        <w:autoSpaceDE/>
        <w:autoSpaceDN/>
        <w:adjustRightInd/>
        <w:spacing w:line="240" w:lineRule="auto"/>
        <w:jc w:val="both"/>
        <w:textAlignment w:val="auto"/>
        <w:rPr>
          <w:lang w:eastAsia="zh-CN"/>
        </w:rPr>
      </w:pPr>
      <w:r>
        <w:rPr>
          <w:rFonts w:ascii="Times" w:hAnsi="Times" w:cs="Helvetica"/>
          <w:lang w:val="en-US" w:eastAsia="zh-CN"/>
        </w:rPr>
        <w:t>Identify the regulatory requirements and design considerations of potential operation of direct communications between vehicles in spectrum allocated to ITS beyond 6GHz</w:t>
      </w:r>
      <w:r>
        <w:rPr>
          <w:rFonts w:ascii="Times" w:hAnsi="Times" w:cs="Helvetica"/>
          <w:lang w:val="en-US" w:eastAsia="ko-KR"/>
        </w:rPr>
        <w:t>in different regions</w:t>
      </w:r>
      <w:r>
        <w:rPr>
          <w:lang w:eastAsia="zh-CN"/>
        </w:rPr>
        <w:t>, considering at least 63-64GHz (allocated for ITS in Europe)</w:t>
      </w:r>
      <w:r>
        <w:rPr>
          <w:rFonts w:ascii="Times" w:hAnsi="Times" w:cs="Helvetica" w:hint="eastAsia"/>
          <w:lang w:val="en-US" w:eastAsia="ko-KR"/>
        </w:rPr>
        <w:t xml:space="preserve"> and </w:t>
      </w:r>
      <w:r>
        <w:rPr>
          <w:rFonts w:ascii="Times" w:hAnsi="Times" w:cs="Helvetica"/>
          <w:lang w:val="en-US" w:eastAsia="ko-KR"/>
        </w:rPr>
        <w:t xml:space="preserve">76-81GHz </w:t>
      </w:r>
      <w:r>
        <w:rPr>
          <w:rFonts w:ascii="Times" w:hAnsi="Times" w:cs="Helvetica" w:hint="eastAsia"/>
          <w:lang w:val="en-US" w:eastAsia="ko-KR"/>
        </w:rPr>
        <w:t>depending on regulatory decision</w:t>
      </w:r>
      <w:r>
        <w:rPr>
          <w:rFonts w:hint="eastAsia"/>
          <w:lang w:eastAsia="ko-KR"/>
        </w:rPr>
        <w:t xml:space="preserve"> [RAN, starting email discussion after RAN#76]</w:t>
      </w:r>
      <w:r>
        <w:rPr>
          <w:lang w:eastAsia="zh-CN"/>
        </w:rPr>
        <w:t>.</w:t>
      </w:r>
    </w:p>
    <w:p w14:paraId="6D956F97" w14:textId="6B1AD8C2" w:rsidR="00505347" w:rsidRDefault="008F4029">
      <w:pPr>
        <w:spacing w:beforeLines="50" w:before="120" w:line="360" w:lineRule="auto"/>
        <w:rPr>
          <w:lang w:val="en-US"/>
        </w:rPr>
      </w:pPr>
      <w:r>
        <w:rPr>
          <w:rFonts w:hint="eastAsia"/>
          <w:lang w:val="en-US" w:eastAsia="zh-CN"/>
        </w:rPr>
        <w:t xml:space="preserve">After that a list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eV2X evaluation methodology issues such as evaluation scenarios, UE drop and mobility modeling, BS and RSU deployment, channel model, antenna model, traffic model and performance metric were presented in email</w:t>
      </w:r>
      <w:r>
        <w:rPr>
          <w:lang w:val="en-US" w:eastAsia="zh-CN"/>
        </w:rPr>
        <w:t xml:space="preserve">s </w:t>
      </w:r>
      <w:r>
        <w:rPr>
          <w:rFonts w:hint="eastAsia"/>
          <w:lang w:val="en-US" w:eastAsia="zh-CN"/>
        </w:rPr>
        <w:t>[89-28],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[90-30] and [90b-NR-02]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[2][3][4], consensus on some topics ha</w:t>
      </w:r>
      <w:r>
        <w:rPr>
          <w:lang w:val="en-US" w:eastAsia="zh-CN"/>
        </w:rPr>
        <w:t>ve</w:t>
      </w:r>
      <w:r>
        <w:rPr>
          <w:rFonts w:hint="eastAsia"/>
          <w:lang w:val="en-US" w:eastAsia="zh-CN"/>
        </w:rPr>
        <w:t xml:space="preserve"> been achieved during the offline discussions, and there are several issues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still need further discussions. One of the remaining issues is the V2V blockage channel model for above 6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Hz</w:t>
      </w:r>
      <w:r>
        <w:rPr>
          <w:rFonts w:hint="eastAsia"/>
          <w:lang w:val="en-US" w:eastAsia="zh-CN"/>
        </w:rPr>
        <w:t>.</w:t>
      </w:r>
    </w:p>
    <w:p w14:paraId="18E6EDB1" w14:textId="77777777" w:rsidR="00505347" w:rsidRDefault="008F4029">
      <w:pPr>
        <w:pStyle w:val="Heading1"/>
        <w:rPr>
          <w:lang w:val="en-US" w:eastAsia="zh-CN"/>
        </w:rPr>
      </w:pPr>
      <w:r>
        <w:rPr>
          <w:lang w:val="en-US"/>
        </w:rPr>
        <w:t>2</w:t>
      </w:r>
      <w:r>
        <w:rPr>
          <w:rFonts w:hint="eastAsia"/>
          <w:lang w:val="en-US" w:eastAsia="zh-CN"/>
        </w:rPr>
        <w:t xml:space="preserve"> Discussion</w:t>
      </w:r>
    </w:p>
    <w:p w14:paraId="6E396043" w14:textId="7FFA8714" w:rsidR="00505347" w:rsidRDefault="008F4029">
      <w:pPr>
        <w:spacing w:beforeLines="50" w:before="120" w:line="360" w:lineRule="auto"/>
      </w:pPr>
      <w:r>
        <w:rPr>
          <w:rFonts w:hint="eastAsia"/>
          <w:lang w:val="en-US" w:eastAsia="zh-CN"/>
        </w:rPr>
        <w:t>The human and vehicular can block the signal,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especially in high frequency communication, </w:t>
      </w:r>
      <w:r>
        <w:rPr>
          <w:lang w:val="en-US" w:eastAsia="zh-CN"/>
        </w:rPr>
        <w:t xml:space="preserve">where </w:t>
      </w:r>
      <w:r>
        <w:rPr>
          <w:rFonts w:hint="eastAsia"/>
          <w:lang w:val="en-US" w:eastAsia="zh-CN"/>
        </w:rPr>
        <w:t xml:space="preserve">blockers may </w:t>
      </w:r>
      <w:r>
        <w:rPr>
          <w:lang w:val="en-US" w:eastAsia="zh-CN"/>
        </w:rPr>
        <w:t>cause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big impact to the signal reception due to the poor diffraction characteristic of electromagnetic wave. It has reached consensus in the email discussion that at least for above 6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Hz</w:t>
      </w:r>
      <w:r>
        <w:rPr>
          <w:rFonts w:hint="eastAsia"/>
          <w:lang w:val="en-US" w:eastAsia="zh-CN"/>
        </w:rPr>
        <w:t xml:space="preserve"> blockage model should be considered in V2V channel model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[5][6][7].</w:t>
      </w:r>
    </w:p>
    <w:p w14:paraId="2A2ED6B0" w14:textId="491D0D2A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cs="Times New Roman" w:hint="eastAsia"/>
          <w:kern w:val="0"/>
          <w:sz w:val="20"/>
        </w:rPr>
        <w:t xml:space="preserve">As </w:t>
      </w:r>
      <w:r>
        <w:rPr>
          <w:rFonts w:cs="Times New Roman"/>
          <w:kern w:val="0"/>
          <w:sz w:val="20"/>
        </w:rPr>
        <w:t xml:space="preserve">the </w:t>
      </w:r>
      <w:r>
        <w:rPr>
          <w:rFonts w:cs="Times New Roman" w:hint="eastAsia"/>
          <w:kern w:val="0"/>
          <w:sz w:val="20"/>
        </w:rPr>
        <w:t>blocker shadow is a severe problem for wireless high</w:t>
      </w:r>
      <w:r>
        <w:rPr>
          <w:rFonts w:cs="Times New Roman"/>
          <w:kern w:val="0"/>
          <w:sz w:val="20"/>
        </w:rPr>
        <w:t xml:space="preserve"> </w:t>
      </w:r>
      <w:r>
        <w:rPr>
          <w:rFonts w:cs="Times New Roman" w:hint="eastAsia"/>
          <w:kern w:val="0"/>
          <w:sz w:val="20"/>
        </w:rPr>
        <w:t xml:space="preserve">frequency communication, large efforts </w:t>
      </w:r>
      <w:r>
        <w:rPr>
          <w:rFonts w:cs="Times New Roman"/>
          <w:kern w:val="0"/>
          <w:sz w:val="20"/>
        </w:rPr>
        <w:t>have</w:t>
      </w:r>
      <w:r>
        <w:rPr>
          <w:rFonts w:cs="Times New Roman" w:hint="eastAsia"/>
          <w:kern w:val="0"/>
          <w:sz w:val="20"/>
        </w:rPr>
        <w:t xml:space="preserve"> been done to analyze the </w:t>
      </w:r>
      <w:r>
        <w:rPr>
          <w:rFonts w:cs="Times New Roman"/>
          <w:kern w:val="0"/>
          <w:sz w:val="20"/>
        </w:rPr>
        <w:t>phenomenon.</w:t>
      </w:r>
      <w:r>
        <w:rPr>
          <w:sz w:val="20"/>
        </w:rPr>
        <w:t xml:space="preserve"> The</w:t>
      </w:r>
      <w:r>
        <w:rPr>
          <w:rFonts w:hint="eastAsia"/>
          <w:sz w:val="20"/>
        </w:rPr>
        <w:t xml:space="preserve"> influence of the blockage phenomenon can be studied in </w:t>
      </w:r>
      <w:r>
        <w:rPr>
          <w:sz w:val="20"/>
        </w:rPr>
        <w:t>the large-scale</w:t>
      </w:r>
      <w:r>
        <w:rPr>
          <w:rFonts w:hint="eastAsia"/>
          <w:sz w:val="20"/>
        </w:rPr>
        <w:t xml:space="preserve"> level or </w:t>
      </w:r>
      <w:r>
        <w:rPr>
          <w:sz w:val="20"/>
        </w:rPr>
        <w:t>small-scale</w:t>
      </w:r>
      <w:r>
        <w:rPr>
          <w:rFonts w:hint="eastAsia"/>
          <w:sz w:val="20"/>
        </w:rPr>
        <w:t xml:space="preserve"> </w:t>
      </w:r>
      <w:r>
        <w:rPr>
          <w:sz w:val="20"/>
        </w:rPr>
        <w:t>level. Nevertheless</w:t>
      </w:r>
      <w:r>
        <w:rPr>
          <w:rFonts w:hint="eastAsia"/>
          <w:sz w:val="20"/>
        </w:rPr>
        <w:t>, the model of blockage should satisfy two requirements:</w:t>
      </w:r>
    </w:p>
    <w:p w14:paraId="61EEEA96" w14:textId="77777777" w:rsidR="00505347" w:rsidRDefault="008F4029">
      <w:pPr>
        <w:pStyle w:val="YJ--"/>
        <w:numPr>
          <w:ilvl w:val="0"/>
          <w:numId w:val="3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sz w:val="20"/>
        </w:rPr>
        <w:t>The</w:t>
      </w:r>
      <w:r>
        <w:rPr>
          <w:rFonts w:hint="eastAsia"/>
          <w:sz w:val="20"/>
        </w:rPr>
        <w:t xml:space="preserve"> model should actually match the empirical observed characteristics</w:t>
      </w:r>
    </w:p>
    <w:p w14:paraId="25AA75BA" w14:textId="77777777" w:rsidR="00505347" w:rsidRDefault="008F4029">
      <w:pPr>
        <w:pStyle w:val="YJ--"/>
        <w:numPr>
          <w:ilvl w:val="0"/>
          <w:numId w:val="3"/>
        </w:numPr>
        <w:spacing w:beforeLines="50" w:before="120" w:afterLines="100" w:after="240" w:line="240" w:lineRule="auto"/>
        <w:ind w:firstLineChars="0"/>
      </w:pPr>
      <w:r>
        <w:rPr>
          <w:sz w:val="20"/>
        </w:rPr>
        <w:t>The</w:t>
      </w:r>
      <w:r>
        <w:rPr>
          <w:rFonts w:hint="eastAsia"/>
          <w:sz w:val="20"/>
        </w:rPr>
        <w:t xml:space="preserve"> computational efforts must be manageable</w:t>
      </w:r>
    </w:p>
    <w:p w14:paraId="1773365E" w14:textId="4271CF45" w:rsidR="00505347" w:rsidRDefault="008F4029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2.1 </w:t>
      </w:r>
      <w:r w:rsidR="00B51E6C">
        <w:rPr>
          <w:lang w:val="en-US" w:eastAsia="zh-CN"/>
        </w:rPr>
        <w:t>S</w:t>
      </w:r>
      <w:r w:rsidR="00B51E6C">
        <w:rPr>
          <w:rFonts w:hint="eastAsia"/>
          <w:lang w:val="en-US" w:eastAsia="zh-CN"/>
        </w:rPr>
        <w:t xml:space="preserve">idelink </w:t>
      </w:r>
      <w:r>
        <w:rPr>
          <w:rFonts w:hint="eastAsia"/>
          <w:lang w:val="en-US" w:eastAsia="zh-CN"/>
        </w:rPr>
        <w:t>blockage model</w:t>
      </w:r>
    </w:p>
    <w:p w14:paraId="39F966CD" w14:textId="77777777" w:rsidR="00505347" w:rsidRDefault="008F4029">
      <w:pPr>
        <w:spacing w:beforeLines="50" w:before="120" w:line="360" w:lineRule="auto"/>
      </w:pPr>
      <w:r>
        <w:rPr>
          <w:rFonts w:hint="eastAsia"/>
          <w:lang w:val="en-US" w:eastAsia="zh-CN"/>
        </w:rPr>
        <w:t>Since the blockage impact can be studied in large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cale level or small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scale level, the model method can be divided </w:t>
      </w:r>
      <w:r>
        <w:rPr>
          <w:lang w:val="en-US" w:eastAsia="zh-CN"/>
        </w:rPr>
        <w:t xml:space="preserve">into </w:t>
      </w:r>
      <w:r>
        <w:rPr>
          <w:rFonts w:hint="eastAsia"/>
          <w:lang w:val="en-US" w:eastAsia="zh-CN"/>
        </w:rPr>
        <w:t>three classes:</w:t>
      </w:r>
    </w:p>
    <w:p w14:paraId="2FE99839" w14:textId="77777777" w:rsidR="00505347" w:rsidRDefault="008F4029">
      <w:pPr>
        <w:pStyle w:val="YJ--"/>
        <w:numPr>
          <w:ilvl w:val="0"/>
          <w:numId w:val="4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rFonts w:hint="eastAsia"/>
          <w:sz w:val="20"/>
        </w:rPr>
        <w:t>Model in large</w:t>
      </w:r>
      <w:r>
        <w:rPr>
          <w:sz w:val="20"/>
        </w:rPr>
        <w:t>-</w:t>
      </w:r>
      <w:r>
        <w:rPr>
          <w:rFonts w:hint="eastAsia"/>
          <w:sz w:val="20"/>
        </w:rPr>
        <w:t>scale level</w:t>
      </w:r>
      <w:r>
        <w:rPr>
          <w:sz w:val="20"/>
        </w:rPr>
        <w:t xml:space="preserve"> (Method 1)</w:t>
      </w:r>
    </w:p>
    <w:p w14:paraId="2F817CB4" w14:textId="2930E56A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 xml:space="preserve">The blockers result in an additional loss </w:t>
      </w:r>
      <w:r>
        <w:rPr>
          <w:sz w:val="20"/>
        </w:rPr>
        <w:t xml:space="preserve">to be added to account for additional objects (e.g., </w:t>
      </w:r>
      <w:r>
        <w:rPr>
          <w:rFonts w:hint="eastAsia"/>
          <w:sz w:val="20"/>
        </w:rPr>
        <w:t>human</w:t>
      </w:r>
      <w:r>
        <w:rPr>
          <w:sz w:val="20"/>
        </w:rPr>
        <w:t xml:space="preserve">, vehicles, etc.) </w:t>
      </w:r>
      <w:r>
        <w:rPr>
          <w:rFonts w:hint="eastAsia"/>
          <w:sz w:val="20"/>
        </w:rPr>
        <w:t>and impact</w:t>
      </w:r>
      <w:r w:rsidR="0054110B">
        <w:rPr>
          <w:sz w:val="20"/>
        </w:rPr>
        <w:t xml:space="preserve"> of</w:t>
      </w:r>
      <w:r>
        <w:rPr>
          <w:rFonts w:hint="eastAsia"/>
          <w:sz w:val="20"/>
        </w:rPr>
        <w:t xml:space="preserve"> the shadow fading. So</w:t>
      </w:r>
      <w:r>
        <w:rPr>
          <w:sz w:val="20"/>
        </w:rPr>
        <w:t>,</w:t>
      </w:r>
      <w:r>
        <w:rPr>
          <w:rFonts w:hint="eastAsia"/>
          <w:sz w:val="20"/>
        </w:rPr>
        <w:t xml:space="preserve"> whether </w:t>
      </w:r>
      <w:r>
        <w:rPr>
          <w:rFonts w:hint="eastAsia"/>
          <w:sz w:val="20"/>
          <w:lang w:eastAsia="en-US"/>
        </w:rPr>
        <w:t xml:space="preserve">adding an additional loss </w:t>
      </w:r>
      <w:r>
        <w:rPr>
          <w:rFonts w:hint="eastAsia"/>
          <w:sz w:val="20"/>
        </w:rPr>
        <w:t>to</w:t>
      </w:r>
      <w:r>
        <w:rPr>
          <w:rFonts w:hint="eastAsia"/>
          <w:sz w:val="20"/>
          <w:lang w:eastAsia="en-US"/>
        </w:rPr>
        <w:t xml:space="preserve"> the pathloss equation</w:t>
      </w:r>
      <w:r>
        <w:rPr>
          <w:rFonts w:hint="eastAsia"/>
          <w:sz w:val="20"/>
        </w:rPr>
        <w:t xml:space="preserve"> or </w:t>
      </w:r>
      <w:r>
        <w:rPr>
          <w:sz w:val="20"/>
        </w:rPr>
        <w:t>u</w:t>
      </w:r>
      <w:r>
        <w:rPr>
          <w:rFonts w:hint="eastAsia"/>
          <w:sz w:val="20"/>
        </w:rPr>
        <w:t xml:space="preserve">sing a </w:t>
      </w:r>
      <w:r>
        <w:rPr>
          <w:rFonts w:hint="eastAsia"/>
          <w:sz w:val="20"/>
          <w:lang w:eastAsia="en-US"/>
        </w:rPr>
        <w:t>new pathloss equation</w:t>
      </w:r>
      <w:r>
        <w:rPr>
          <w:rFonts w:hint="eastAsia"/>
          <w:sz w:val="20"/>
        </w:rPr>
        <w:t xml:space="preserve"> is </w:t>
      </w:r>
      <w:r>
        <w:rPr>
          <w:sz w:val="20"/>
        </w:rPr>
        <w:t>feasible</w:t>
      </w:r>
      <w:r>
        <w:rPr>
          <w:rFonts w:hint="eastAsia"/>
          <w:sz w:val="20"/>
        </w:rPr>
        <w:t>.</w:t>
      </w:r>
    </w:p>
    <w:p w14:paraId="1599CF7F" w14:textId="77777777" w:rsidR="00505347" w:rsidRDefault="008F4029">
      <w:pPr>
        <w:pStyle w:val="YJ--"/>
        <w:numPr>
          <w:ilvl w:val="0"/>
          <w:numId w:val="4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rFonts w:hint="eastAsia"/>
          <w:sz w:val="20"/>
        </w:rPr>
        <w:t>Model in small</w:t>
      </w:r>
      <w:r>
        <w:rPr>
          <w:sz w:val="20"/>
        </w:rPr>
        <w:t>-</w:t>
      </w:r>
      <w:r>
        <w:rPr>
          <w:rFonts w:hint="eastAsia"/>
          <w:sz w:val="20"/>
        </w:rPr>
        <w:t>scale level</w:t>
      </w:r>
      <w:r>
        <w:rPr>
          <w:sz w:val="20"/>
        </w:rPr>
        <w:t xml:space="preserve"> (Method 2)</w:t>
      </w:r>
    </w:p>
    <w:p w14:paraId="48BA0743" w14:textId="080DD9E2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>Considering the blockage model only in small</w:t>
      </w:r>
      <w:r>
        <w:rPr>
          <w:sz w:val="20"/>
        </w:rPr>
        <w:t>-</w:t>
      </w:r>
      <w:r>
        <w:rPr>
          <w:rFonts w:hint="eastAsia"/>
          <w:sz w:val="20"/>
        </w:rPr>
        <w:t>level means that the blockers do not impact the large</w:t>
      </w:r>
      <w:r>
        <w:rPr>
          <w:sz w:val="20"/>
        </w:rPr>
        <w:t>-</w:t>
      </w:r>
      <w:r>
        <w:rPr>
          <w:rFonts w:hint="eastAsia"/>
          <w:sz w:val="20"/>
        </w:rPr>
        <w:t xml:space="preserve">scale level pathloss. The influence of blockers is reflected in the attenuation of clusters. </w:t>
      </w:r>
      <w:r>
        <w:rPr>
          <w:sz w:val="20"/>
        </w:rPr>
        <w:t>The t</w:t>
      </w:r>
      <w:r>
        <w:rPr>
          <w:rFonts w:hint="eastAsia"/>
          <w:sz w:val="20"/>
        </w:rPr>
        <w:t>wo implementation methods to reflect the influence</w:t>
      </w:r>
      <w:r>
        <w:rPr>
          <w:sz w:val="20"/>
        </w:rPr>
        <w:t xml:space="preserve"> are as such</w:t>
      </w:r>
      <w:r>
        <w:rPr>
          <w:rFonts w:hint="eastAsia"/>
          <w:sz w:val="20"/>
        </w:rPr>
        <w:t>:</w:t>
      </w:r>
    </w:p>
    <w:p w14:paraId="23B58429" w14:textId="77777777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 xml:space="preserve">(2.1) </w:t>
      </w:r>
      <w:r>
        <w:rPr>
          <w:sz w:val="20"/>
        </w:rPr>
        <w:t>U</w:t>
      </w:r>
      <w:r>
        <w:rPr>
          <w:rFonts w:hint="eastAsia"/>
          <w:sz w:val="20"/>
        </w:rPr>
        <w:t>pdate the large</w:t>
      </w:r>
      <w:r>
        <w:rPr>
          <w:sz w:val="20"/>
        </w:rPr>
        <w:t>-</w:t>
      </w:r>
      <w:r>
        <w:rPr>
          <w:rFonts w:hint="eastAsia"/>
          <w:sz w:val="20"/>
        </w:rPr>
        <w:t>scale parameters such as</w:t>
      </w:r>
      <w:r>
        <w:rPr>
          <w:sz w:val="20"/>
        </w:rPr>
        <w:t>:</w:t>
      </w:r>
      <w:r>
        <w:rPr>
          <w:rFonts w:hint="eastAsia"/>
          <w:sz w:val="20"/>
        </w:rPr>
        <w:t xml:space="preserve"> DS</w:t>
      </w:r>
      <w:r>
        <w:rPr>
          <w:sz w:val="20"/>
        </w:rPr>
        <w:t xml:space="preserve"> (delay spread)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>ASD</w:t>
      </w:r>
      <w:r>
        <w:rPr>
          <w:sz w:val="20"/>
        </w:rPr>
        <w:t xml:space="preserve"> (Azimuth angle Spread of Departure)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>ASA</w:t>
      </w:r>
      <w:r>
        <w:rPr>
          <w:sz w:val="20"/>
        </w:rPr>
        <w:t xml:space="preserve"> (Azimuth angle Spread of Arrival)</w:t>
      </w:r>
      <w:r>
        <w:rPr>
          <w:rFonts w:hint="eastAsia"/>
          <w:sz w:val="20"/>
        </w:rPr>
        <w:t xml:space="preserve">, K-factor </w:t>
      </w:r>
      <w:r>
        <w:rPr>
          <w:sz w:val="20"/>
        </w:rPr>
        <w:t>(</w:t>
      </w:r>
      <w:proofErr w:type="spellStart"/>
      <w:r>
        <w:rPr>
          <w:sz w:val="20"/>
        </w:rPr>
        <w:t>Ricean</w:t>
      </w:r>
      <w:proofErr w:type="spellEnd"/>
      <w:r>
        <w:rPr>
          <w:sz w:val="20"/>
        </w:rPr>
        <w:t xml:space="preserve"> K factor) </w:t>
      </w:r>
      <w:r>
        <w:rPr>
          <w:rFonts w:hint="eastAsia"/>
          <w:sz w:val="20"/>
        </w:rPr>
        <w:t>and generate the clusters based on the updated large</w:t>
      </w:r>
      <w:r>
        <w:rPr>
          <w:sz w:val="20"/>
        </w:rPr>
        <w:t>-</w:t>
      </w:r>
      <w:r>
        <w:rPr>
          <w:rFonts w:hint="eastAsia"/>
          <w:sz w:val="20"/>
        </w:rPr>
        <w:t>scale parameters</w:t>
      </w:r>
      <w:r>
        <w:rPr>
          <w:sz w:val="20"/>
        </w:rPr>
        <w:t>.</w:t>
      </w:r>
    </w:p>
    <w:p w14:paraId="059BE52D" w14:textId="5A17D15F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 xml:space="preserve">(2.2) </w:t>
      </w:r>
      <w:r>
        <w:rPr>
          <w:sz w:val="20"/>
        </w:rPr>
        <w:t>T</w:t>
      </w:r>
      <w:r>
        <w:rPr>
          <w:rFonts w:hint="eastAsia"/>
          <w:sz w:val="20"/>
        </w:rPr>
        <w:t>he large</w:t>
      </w:r>
      <w:r>
        <w:rPr>
          <w:sz w:val="20"/>
        </w:rPr>
        <w:t>-</w:t>
      </w:r>
      <w:r>
        <w:rPr>
          <w:rFonts w:hint="eastAsia"/>
          <w:sz w:val="20"/>
        </w:rPr>
        <w:t xml:space="preserve">scale parameters are fixed, </w:t>
      </w:r>
      <w:r>
        <w:rPr>
          <w:sz w:val="20"/>
        </w:rPr>
        <w:t>so the attenuation of each cluster due to blockers should be determined.</w:t>
      </w:r>
    </w:p>
    <w:p w14:paraId="48B39F60" w14:textId="77777777" w:rsidR="00505347" w:rsidRDefault="008F4029">
      <w:pPr>
        <w:pStyle w:val="YJ--"/>
        <w:numPr>
          <w:ilvl w:val="0"/>
          <w:numId w:val="5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rFonts w:hint="eastAsia"/>
          <w:sz w:val="20"/>
        </w:rPr>
        <w:t>Model in both large</w:t>
      </w:r>
      <w:r>
        <w:rPr>
          <w:sz w:val="20"/>
        </w:rPr>
        <w:t>-</w:t>
      </w:r>
      <w:r>
        <w:rPr>
          <w:rFonts w:hint="eastAsia"/>
          <w:sz w:val="20"/>
        </w:rPr>
        <w:t>scale level and small</w:t>
      </w:r>
      <w:r>
        <w:rPr>
          <w:sz w:val="20"/>
        </w:rPr>
        <w:t>-</w:t>
      </w:r>
      <w:r>
        <w:rPr>
          <w:rFonts w:hint="eastAsia"/>
          <w:sz w:val="20"/>
        </w:rPr>
        <w:t>scale level</w:t>
      </w:r>
    </w:p>
    <w:p w14:paraId="2DF61046" w14:textId="26F0289A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>In this section, both large</w:t>
      </w:r>
      <w:r>
        <w:rPr>
          <w:sz w:val="20"/>
        </w:rPr>
        <w:t>-</w:t>
      </w:r>
      <w:r>
        <w:rPr>
          <w:rFonts w:hint="eastAsia"/>
          <w:sz w:val="20"/>
        </w:rPr>
        <w:t>scale level and small</w:t>
      </w:r>
      <w:r>
        <w:rPr>
          <w:sz w:val="20"/>
        </w:rPr>
        <w:t>-</w:t>
      </w:r>
      <w:r>
        <w:rPr>
          <w:rFonts w:hint="eastAsia"/>
          <w:sz w:val="20"/>
        </w:rPr>
        <w:t>scale level influence are considered</w:t>
      </w:r>
      <w:r>
        <w:rPr>
          <w:sz w:val="20"/>
        </w:rPr>
        <w:t xml:space="preserve"> and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hint="eastAsia"/>
          <w:sz w:val="20"/>
        </w:rPr>
        <w:t xml:space="preserve">model </w:t>
      </w:r>
      <w:r>
        <w:rPr>
          <w:sz w:val="20"/>
        </w:rPr>
        <w:t xml:space="preserve">method </w:t>
      </w:r>
      <w:r>
        <w:rPr>
          <w:rFonts w:hint="eastAsia"/>
          <w:sz w:val="20"/>
        </w:rPr>
        <w:t xml:space="preserve">can be seen as </w:t>
      </w:r>
      <w:r>
        <w:rPr>
          <w:sz w:val="20"/>
        </w:rPr>
        <w:t>a</w:t>
      </w:r>
      <w:r>
        <w:rPr>
          <w:rFonts w:hint="eastAsia"/>
          <w:sz w:val="20"/>
        </w:rPr>
        <w:t xml:space="preserve"> combination of model method</w:t>
      </w:r>
      <w:r>
        <w:rPr>
          <w:sz w:val="20"/>
        </w:rPr>
        <w:t xml:space="preserve"> 1</w:t>
      </w:r>
      <w:r>
        <w:rPr>
          <w:rFonts w:hint="eastAsia"/>
          <w:sz w:val="20"/>
        </w:rPr>
        <w:t>and model method</w:t>
      </w:r>
      <w:r>
        <w:rPr>
          <w:sz w:val="20"/>
        </w:rPr>
        <w:t xml:space="preserve"> 2</w:t>
      </w:r>
      <w:r>
        <w:rPr>
          <w:rFonts w:hint="eastAsia"/>
          <w:sz w:val="20"/>
        </w:rPr>
        <w:t>.</w:t>
      </w:r>
    </w:p>
    <w:p w14:paraId="53DB2492" w14:textId="41A35EA2" w:rsidR="00505347" w:rsidRDefault="008F4029">
      <w:pPr>
        <w:pStyle w:val="YJ--"/>
        <w:spacing w:beforeLines="50" w:before="120" w:afterLines="100" w:after="240" w:line="240" w:lineRule="auto"/>
        <w:ind w:left="840" w:firstLineChars="0" w:firstLine="0"/>
        <w:rPr>
          <w:sz w:val="20"/>
        </w:rPr>
      </w:pPr>
      <w:r>
        <w:rPr>
          <w:rFonts w:hint="eastAsia"/>
          <w:sz w:val="20"/>
        </w:rPr>
        <w:t>So</w:t>
      </w:r>
      <w:r>
        <w:rPr>
          <w:sz w:val="20"/>
        </w:rPr>
        <w:t>,</w:t>
      </w:r>
      <w:r>
        <w:rPr>
          <w:rFonts w:hint="eastAsia"/>
          <w:sz w:val="20"/>
        </w:rPr>
        <w:t xml:space="preserve"> </w:t>
      </w:r>
      <w:r w:rsidR="004F6F8F">
        <w:rPr>
          <w:sz w:val="20"/>
        </w:rPr>
        <w:t xml:space="preserve">the </w:t>
      </w:r>
      <w:r>
        <w:rPr>
          <w:rFonts w:hint="eastAsia"/>
          <w:sz w:val="20"/>
        </w:rPr>
        <w:t>model method can be</w:t>
      </w:r>
      <w:r>
        <w:rPr>
          <w:sz w:val="20"/>
        </w:rPr>
        <w:t>:</w:t>
      </w:r>
      <w:r>
        <w:rPr>
          <w:rFonts w:hint="eastAsia"/>
          <w:sz w:val="20"/>
        </w:rPr>
        <w:t xml:space="preserve"> (1) +</w:t>
      </w:r>
      <w:r>
        <w:rPr>
          <w:sz w:val="20"/>
        </w:rPr>
        <w:t xml:space="preserve"> </w:t>
      </w:r>
      <w:r>
        <w:rPr>
          <w:rFonts w:hint="eastAsia"/>
          <w:sz w:val="20"/>
        </w:rPr>
        <w:t>(2.1) or (1) +</w:t>
      </w:r>
      <w:r>
        <w:rPr>
          <w:sz w:val="20"/>
        </w:rPr>
        <w:t xml:space="preserve"> </w:t>
      </w:r>
      <w:r>
        <w:rPr>
          <w:rFonts w:hint="eastAsia"/>
          <w:sz w:val="20"/>
        </w:rPr>
        <w:t>(2.2).</w:t>
      </w:r>
    </w:p>
    <w:p w14:paraId="1916D866" w14:textId="77777777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t xml:space="preserve">According to the classification above, we can compare the three model methods in accuracy </w:t>
      </w:r>
      <w:r>
        <w:rPr>
          <w:sz w:val="20"/>
        </w:rPr>
        <w:t>and computational</w:t>
      </w:r>
      <w:r>
        <w:rPr>
          <w:rFonts w:hint="eastAsia"/>
          <w:sz w:val="20"/>
        </w:rPr>
        <w:t xml:space="preserve"> complexity:</w:t>
      </w:r>
    </w:p>
    <w:p w14:paraId="1C786EFD" w14:textId="77777777" w:rsidR="00505347" w:rsidRDefault="008F4029">
      <w:pPr>
        <w:pStyle w:val="YJ--"/>
        <w:numPr>
          <w:ilvl w:val="0"/>
          <w:numId w:val="6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rFonts w:hint="eastAsia"/>
          <w:sz w:val="20"/>
        </w:rPr>
        <w:t>Accuracy dimension</w:t>
      </w:r>
    </w:p>
    <w:p w14:paraId="5346A0A6" w14:textId="77777777" w:rsidR="00505347" w:rsidRDefault="008F4029">
      <w:pPr>
        <w:pStyle w:val="YJ--"/>
        <w:spacing w:beforeLines="50" w:before="120" w:afterLines="100" w:after="240" w:line="240" w:lineRule="auto"/>
        <w:ind w:firstLine="400"/>
        <w:rPr>
          <w:sz w:val="20"/>
        </w:rPr>
      </w:pPr>
      <w:r>
        <w:rPr>
          <w:rFonts w:hint="eastAsia"/>
          <w:sz w:val="20"/>
        </w:rPr>
        <w:t>(1)</w:t>
      </w:r>
      <w:r>
        <w:rPr>
          <w:sz w:val="20"/>
        </w:rPr>
        <w:t xml:space="preserve"> </w:t>
      </w:r>
      <w:r>
        <w:rPr>
          <w:rFonts w:hint="eastAsia"/>
          <w:sz w:val="20"/>
        </w:rPr>
        <w:t>+</w:t>
      </w:r>
      <w:r>
        <w:rPr>
          <w:sz w:val="20"/>
        </w:rPr>
        <w:t xml:space="preserve"> </w:t>
      </w:r>
      <w:r>
        <w:rPr>
          <w:rFonts w:hint="eastAsia"/>
          <w:sz w:val="20"/>
        </w:rPr>
        <w:t>(2.1) &gt; (1) +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(2.2) &gt; (2.1) &gt; (2.2) &gt; (1) </w:t>
      </w:r>
    </w:p>
    <w:p w14:paraId="578DD7BF" w14:textId="77777777" w:rsidR="00505347" w:rsidRDefault="008F4029">
      <w:pPr>
        <w:pStyle w:val="YJ--"/>
        <w:numPr>
          <w:ilvl w:val="0"/>
          <w:numId w:val="6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sz w:val="20"/>
        </w:rPr>
        <w:t>C</w:t>
      </w:r>
      <w:r>
        <w:rPr>
          <w:rFonts w:hint="eastAsia"/>
          <w:sz w:val="20"/>
        </w:rPr>
        <w:t>omputational complexity dimension</w:t>
      </w:r>
    </w:p>
    <w:p w14:paraId="779A9340" w14:textId="77777777" w:rsidR="00505347" w:rsidRDefault="008F4029">
      <w:pPr>
        <w:pStyle w:val="YJ--"/>
        <w:spacing w:beforeLines="50" w:before="120" w:afterLines="100" w:after="240" w:line="240" w:lineRule="auto"/>
        <w:ind w:firstLine="400"/>
        <w:rPr>
          <w:sz w:val="20"/>
        </w:rPr>
      </w:pPr>
      <w:r>
        <w:rPr>
          <w:rFonts w:hint="eastAsia"/>
          <w:sz w:val="20"/>
        </w:rPr>
        <w:t>(1) &lt; (2.2) &lt; (2.1) &lt; (1) +(2.2) &lt; (1)</w:t>
      </w:r>
      <w:r>
        <w:rPr>
          <w:sz w:val="20"/>
        </w:rPr>
        <w:t xml:space="preserve"> </w:t>
      </w:r>
      <w:r>
        <w:rPr>
          <w:rFonts w:hint="eastAsia"/>
          <w:sz w:val="20"/>
        </w:rPr>
        <w:t>+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(2.1) </w:t>
      </w:r>
    </w:p>
    <w:p w14:paraId="000FE86D" w14:textId="42C5D7DC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t xml:space="preserve">From the analysis above, it can be seen that we should choose </w:t>
      </w:r>
      <w:r>
        <w:rPr>
          <w:sz w:val="20"/>
        </w:rPr>
        <w:t>the</w:t>
      </w:r>
      <w:r>
        <w:rPr>
          <w:rFonts w:hint="eastAsia"/>
          <w:sz w:val="20"/>
        </w:rPr>
        <w:t xml:space="preserve"> best suitable channel model. Since method (1) and method (2.2) is easy to </w:t>
      </w:r>
      <w:r>
        <w:rPr>
          <w:sz w:val="20"/>
        </w:rPr>
        <w:t xml:space="preserve">be </w:t>
      </w:r>
      <w:r>
        <w:rPr>
          <w:rFonts w:hint="eastAsia"/>
          <w:sz w:val="20"/>
        </w:rPr>
        <w:t xml:space="preserve">integrated </w:t>
      </w:r>
      <w:r>
        <w:rPr>
          <w:sz w:val="20"/>
        </w:rPr>
        <w:t>in</w:t>
      </w:r>
      <w:r>
        <w:rPr>
          <w:rFonts w:hint="eastAsia"/>
          <w:sz w:val="20"/>
        </w:rPr>
        <w:t>to the non-blocked channel model process</w:t>
      </w:r>
      <w:r>
        <w:rPr>
          <w:sz w:val="20"/>
        </w:rPr>
        <w:t>, we prefer the model</w:t>
      </w:r>
      <w:r>
        <w:rPr>
          <w:rFonts w:hint="eastAsia"/>
          <w:sz w:val="20"/>
        </w:rPr>
        <w:t xml:space="preserve"> method</w:t>
      </w:r>
      <w:r>
        <w:rPr>
          <w:sz w:val="20"/>
        </w:rPr>
        <w:t xml:space="preserve"> combination of</w:t>
      </w:r>
      <w:r>
        <w:rPr>
          <w:rFonts w:hint="eastAsia"/>
          <w:sz w:val="20"/>
        </w:rPr>
        <w:t xml:space="preserve"> (1)</w:t>
      </w:r>
      <w:r>
        <w:rPr>
          <w:sz w:val="20"/>
        </w:rPr>
        <w:t xml:space="preserve"> </w:t>
      </w:r>
      <w:r>
        <w:rPr>
          <w:rFonts w:hint="eastAsia"/>
          <w:sz w:val="20"/>
        </w:rPr>
        <w:t>+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(2.2) is </w:t>
      </w:r>
      <w:r>
        <w:rPr>
          <w:sz w:val="20"/>
        </w:rPr>
        <w:t>chosen</w:t>
      </w:r>
      <w:r>
        <w:rPr>
          <w:rFonts w:hint="eastAsia"/>
          <w:sz w:val="20"/>
        </w:rPr>
        <w:t>.</w:t>
      </w:r>
    </w:p>
    <w:p w14:paraId="7D545FE8" w14:textId="236EC01B" w:rsidR="00505347" w:rsidRDefault="00B51E6C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b/>
          <w:bCs/>
          <w:sz w:val="20"/>
        </w:rPr>
        <w:t>Proposal 1:</w:t>
      </w:r>
      <w:r w:rsidR="008F4029">
        <w:rPr>
          <w:rFonts w:hint="eastAsia"/>
          <w:sz w:val="20"/>
        </w:rPr>
        <w:t xml:space="preserve"> The </w:t>
      </w:r>
      <w:proofErr w:type="spellStart"/>
      <w:r w:rsidR="008F4029">
        <w:rPr>
          <w:rFonts w:hint="eastAsia"/>
          <w:sz w:val="20"/>
        </w:rPr>
        <w:t>sidelink</w:t>
      </w:r>
      <w:proofErr w:type="spellEnd"/>
      <w:r w:rsidR="008F4029">
        <w:rPr>
          <w:rFonts w:hint="eastAsia"/>
          <w:sz w:val="20"/>
        </w:rPr>
        <w:t xml:space="preserve"> blockage model is modeled in both large</w:t>
      </w:r>
      <w:r w:rsidR="008F4029">
        <w:rPr>
          <w:sz w:val="20"/>
        </w:rPr>
        <w:t>-</w:t>
      </w:r>
      <w:r w:rsidR="008F4029">
        <w:rPr>
          <w:rFonts w:hint="eastAsia"/>
          <w:sz w:val="20"/>
        </w:rPr>
        <w:t>scale level and small</w:t>
      </w:r>
      <w:r w:rsidR="008F4029">
        <w:rPr>
          <w:sz w:val="20"/>
        </w:rPr>
        <w:t>-</w:t>
      </w:r>
      <w:r w:rsidR="008F4029">
        <w:rPr>
          <w:rFonts w:hint="eastAsia"/>
          <w:sz w:val="20"/>
        </w:rPr>
        <w:t>scale level.</w:t>
      </w:r>
    </w:p>
    <w:p w14:paraId="28F03DF9" w14:textId="77777777" w:rsidR="00505347" w:rsidRDefault="008F4029">
      <w:pPr>
        <w:pStyle w:val="YJ--"/>
        <w:numPr>
          <w:ilvl w:val="0"/>
          <w:numId w:val="7"/>
        </w:numPr>
        <w:spacing w:beforeLines="50" w:before="120" w:afterLines="100" w:after="240" w:line="240" w:lineRule="auto"/>
        <w:ind w:firstLineChars="0"/>
        <w:rPr>
          <w:sz w:val="20"/>
          <w:lang w:eastAsia="en-US"/>
        </w:rPr>
      </w:pPr>
      <w:r>
        <w:rPr>
          <w:rFonts w:hint="eastAsia"/>
          <w:sz w:val="20"/>
        </w:rPr>
        <w:t>For larg</w:t>
      </w:r>
      <w:r>
        <w:rPr>
          <w:sz w:val="20"/>
        </w:rPr>
        <w:t>e-</w:t>
      </w:r>
      <w:r>
        <w:rPr>
          <w:rFonts w:hint="eastAsia"/>
          <w:sz w:val="20"/>
        </w:rPr>
        <w:t xml:space="preserve">scale level: By </w:t>
      </w:r>
      <w:r>
        <w:rPr>
          <w:rFonts w:hint="eastAsia"/>
          <w:sz w:val="20"/>
          <w:lang w:eastAsia="en-US"/>
        </w:rPr>
        <w:t xml:space="preserve">adding an additional loss </w:t>
      </w:r>
      <w:r>
        <w:rPr>
          <w:rFonts w:hint="eastAsia"/>
          <w:sz w:val="20"/>
        </w:rPr>
        <w:t>to</w:t>
      </w:r>
      <w:r>
        <w:rPr>
          <w:rFonts w:hint="eastAsia"/>
          <w:sz w:val="20"/>
          <w:lang w:eastAsia="en-US"/>
        </w:rPr>
        <w:t xml:space="preserve"> the pathloss equation</w:t>
      </w:r>
    </w:p>
    <w:p w14:paraId="23862FEF" w14:textId="2EA37DFA" w:rsidR="00505347" w:rsidRDefault="008F4029">
      <w:pPr>
        <w:pStyle w:val="YJ--"/>
        <w:numPr>
          <w:ilvl w:val="0"/>
          <w:numId w:val="7"/>
        </w:numPr>
        <w:spacing w:beforeLines="50" w:before="120" w:afterLines="100" w:after="240" w:line="240" w:lineRule="auto"/>
        <w:ind w:firstLineChars="0"/>
      </w:pPr>
      <w:r>
        <w:rPr>
          <w:rFonts w:hint="eastAsia"/>
          <w:sz w:val="20"/>
        </w:rPr>
        <w:t>For small</w:t>
      </w:r>
      <w:r>
        <w:rPr>
          <w:sz w:val="20"/>
        </w:rPr>
        <w:t>-</w:t>
      </w:r>
      <w:r>
        <w:rPr>
          <w:rFonts w:hint="eastAsia"/>
          <w:sz w:val="20"/>
        </w:rPr>
        <w:t>scale level: The large</w:t>
      </w:r>
      <w:r>
        <w:rPr>
          <w:sz w:val="20"/>
        </w:rPr>
        <w:t>-</w:t>
      </w:r>
      <w:r>
        <w:rPr>
          <w:rFonts w:hint="eastAsia"/>
          <w:sz w:val="20"/>
        </w:rPr>
        <w:t xml:space="preserve">scale parameters are fixed, </w:t>
      </w:r>
      <w:r>
        <w:rPr>
          <w:sz w:val="20"/>
        </w:rPr>
        <w:t>so the attenuation of each cluster due to blockers should be determined</w:t>
      </w:r>
    </w:p>
    <w:p w14:paraId="6DE99952" w14:textId="77777777" w:rsidR="00505347" w:rsidRDefault="00505347">
      <w:pPr>
        <w:spacing w:beforeLines="50" w:before="120" w:line="360" w:lineRule="auto"/>
        <w:rPr>
          <w:lang w:val="en-US" w:eastAsia="zh-CN"/>
        </w:rPr>
      </w:pPr>
    </w:p>
    <w:p w14:paraId="35ABD327" w14:textId="77777777" w:rsidR="00505347" w:rsidRDefault="00505347">
      <w:pPr>
        <w:spacing w:beforeLines="50" w:before="120" w:line="360" w:lineRule="auto"/>
        <w:rPr>
          <w:lang w:val="en-US" w:eastAsia="zh-CN"/>
        </w:rPr>
      </w:pPr>
    </w:p>
    <w:p w14:paraId="1BD05C75" w14:textId="77777777" w:rsidR="00505347" w:rsidRDefault="00505347">
      <w:pPr>
        <w:spacing w:beforeLines="50" w:before="120" w:line="360" w:lineRule="auto"/>
        <w:rPr>
          <w:lang w:val="en-US" w:eastAsia="zh-CN"/>
        </w:rPr>
      </w:pPr>
    </w:p>
    <w:p w14:paraId="2377AD74" w14:textId="77777777" w:rsidR="00505347" w:rsidRDefault="008F4029">
      <w:pPr>
        <w:pStyle w:val="Heading3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 xml:space="preserve">2.2 </w:t>
      </w:r>
      <w:r>
        <w:rPr>
          <w:rFonts w:hint="eastAsia"/>
          <w:lang w:val="en-US" w:eastAsia="zh-CN"/>
        </w:rPr>
        <w:t>The blockage modeling procedure</w:t>
      </w:r>
    </w:p>
    <w:p w14:paraId="4145F06A" w14:textId="085DE0CC" w:rsidR="00505347" w:rsidRDefault="008F4029">
      <w:pPr>
        <w:pStyle w:val="YJ--"/>
        <w:spacing w:beforeLines="50" w:before="120" w:afterLines="100" w:after="240" w:line="240" w:lineRule="auto"/>
        <w:ind w:firstLineChars="0" w:firstLine="0"/>
      </w:pPr>
      <w:r>
        <w:rPr>
          <w:rFonts w:hint="eastAsia"/>
          <w:sz w:val="20"/>
        </w:rPr>
        <w:t>In TR 38.901, blockage model is an add-on feature, and the method applies only when the feature is turn</w:t>
      </w:r>
      <w:r>
        <w:rPr>
          <w:sz w:val="20"/>
        </w:rPr>
        <w:t>ed</w:t>
      </w:r>
      <w:r>
        <w:rPr>
          <w:rFonts w:hint="eastAsia"/>
          <w:sz w:val="20"/>
        </w:rPr>
        <w:t xml:space="preserve"> on </w:t>
      </w:r>
      <w:r>
        <w:rPr>
          <w:sz w:val="20"/>
        </w:rPr>
        <w:t xml:space="preserve">and the </w:t>
      </w:r>
      <w:r>
        <w:rPr>
          <w:rFonts w:hint="eastAsia"/>
          <w:sz w:val="20"/>
        </w:rPr>
        <w:t xml:space="preserve">modeling of the </w:t>
      </w:r>
      <w:r>
        <w:rPr>
          <w:sz w:val="20"/>
        </w:rPr>
        <w:t xml:space="preserve">blockage does not change LOS/NLOS state of </w:t>
      </w:r>
      <w:r>
        <w:rPr>
          <w:rFonts w:hint="eastAsia"/>
          <w:sz w:val="20"/>
        </w:rPr>
        <w:t>each</w:t>
      </w:r>
      <w:r>
        <w:rPr>
          <w:sz w:val="20"/>
        </w:rPr>
        <w:t xml:space="preserve"> link</w:t>
      </w:r>
      <w:r>
        <w:rPr>
          <w:rFonts w:hint="eastAsia"/>
          <w:sz w:val="20"/>
        </w:rPr>
        <w:t>.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V2V communication in urban or freeway may have rich rays due to stationary or moving blockers such as </w:t>
      </w:r>
      <w:r>
        <w:rPr>
          <w:sz w:val="20"/>
        </w:rPr>
        <w:t xml:space="preserve">buildings, </w:t>
      </w:r>
      <w:r>
        <w:rPr>
          <w:rFonts w:hint="eastAsia"/>
          <w:sz w:val="20"/>
        </w:rPr>
        <w:t xml:space="preserve">cars, people, trucks, trees and so on. What is different is that the impact to pathloss </w:t>
      </w:r>
      <w:r>
        <w:rPr>
          <w:sz w:val="20"/>
        </w:rPr>
        <w:t>for the</w:t>
      </w:r>
      <w:r>
        <w:rPr>
          <w:rFonts w:hint="eastAsia"/>
          <w:sz w:val="20"/>
        </w:rPr>
        <w:t xml:space="preserve">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channel </w:t>
      </w:r>
      <w:r>
        <w:rPr>
          <w:sz w:val="20"/>
        </w:rPr>
        <w:t>cannot</w:t>
      </w:r>
      <w:r>
        <w:rPr>
          <w:rFonts w:hint="eastAsia"/>
          <w:sz w:val="20"/>
        </w:rPr>
        <w:t xml:space="preserve"> be ignored </w:t>
      </w:r>
      <w:r>
        <w:rPr>
          <w:sz w:val="20"/>
        </w:rPr>
        <w:t>like in the</w:t>
      </w:r>
      <w:r>
        <w:rPr>
          <w:rFonts w:hint="eastAsia"/>
          <w:sz w:val="20"/>
        </w:rPr>
        <w:t xml:space="preserve"> NR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blockage model.</w:t>
      </w:r>
    </w:p>
    <w:p w14:paraId="3324F1F8" w14:textId="2EF7217C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t xml:space="preserve">A blocker crossing through the radio link can impact the </w:t>
      </w:r>
      <w:r>
        <w:rPr>
          <w:sz w:val="20"/>
        </w:rPr>
        <w:t xml:space="preserve">LOS </w:t>
      </w:r>
      <w:r>
        <w:rPr>
          <w:rFonts w:hint="eastAsia"/>
          <w:sz w:val="20"/>
        </w:rPr>
        <w:t>ray</w:t>
      </w:r>
      <w:r>
        <w:rPr>
          <w:sz w:val="20"/>
        </w:rPr>
        <w:t>s</w:t>
      </w:r>
      <w:r>
        <w:rPr>
          <w:rFonts w:hint="eastAsia"/>
          <w:sz w:val="20"/>
        </w:rPr>
        <w:t xml:space="preserve"> and a blocker in the proximity can also influence the radio links due to obstruction of some NLOS rays. In addition, blockers movement may also lead to Doppler shift spread</w:t>
      </w:r>
      <w:r>
        <w:rPr>
          <w:sz w:val="20"/>
        </w:rPr>
        <w:t xml:space="preserve"> </w:t>
      </w:r>
      <w:r>
        <w:rPr>
          <w:rFonts w:hint="eastAsia"/>
          <w:sz w:val="20"/>
        </w:rPr>
        <w:t>[5].</w:t>
      </w:r>
      <w:r>
        <w:rPr>
          <w:sz w:val="20"/>
        </w:rPr>
        <w:t xml:space="preserve"> </w:t>
      </w:r>
      <w:r>
        <w:rPr>
          <w:rFonts w:hint="eastAsia"/>
          <w:sz w:val="20"/>
        </w:rPr>
        <w:t>So</w:t>
      </w:r>
      <w:r>
        <w:rPr>
          <w:sz w:val="20"/>
        </w:rPr>
        <w:t>,</w:t>
      </w:r>
      <w:r>
        <w:rPr>
          <w:rFonts w:hint="eastAsia"/>
          <w:sz w:val="20"/>
        </w:rPr>
        <w:t xml:space="preserve"> both additional pathloss and small scale fast fading </w:t>
      </w:r>
      <w:r>
        <w:rPr>
          <w:sz w:val="20"/>
        </w:rPr>
        <w:t>should be</w:t>
      </w:r>
      <w:r>
        <w:rPr>
          <w:rFonts w:hint="eastAsia"/>
          <w:sz w:val="20"/>
        </w:rPr>
        <w:t xml:space="preserve"> studied.</w:t>
      </w:r>
    </w:p>
    <w:p w14:paraId="2B637A4E" w14:textId="59CC5B53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t>The blockage channel model generation in N</w:t>
      </w:r>
      <w:r>
        <w:rPr>
          <w:sz w:val="20"/>
        </w:rPr>
        <w:t>R</w:t>
      </w:r>
      <w:r>
        <w:rPr>
          <w:rFonts w:hint="eastAsia"/>
          <w:sz w:val="20"/>
        </w:rPr>
        <w:t xml:space="preserve">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link is as below</w:t>
      </w:r>
      <w:r>
        <w:rPr>
          <w:sz w:val="20"/>
        </w:rPr>
        <w:t xml:space="preserve"> </w:t>
      </w:r>
      <w:r>
        <w:rPr>
          <w:rFonts w:hint="eastAsia"/>
          <w:sz w:val="20"/>
        </w:rPr>
        <w:t>[8]:</w:t>
      </w:r>
    </w:p>
    <w:p w14:paraId="2257D98E" w14:textId="77777777" w:rsidR="00505347" w:rsidRDefault="008F4029">
      <w:pPr>
        <w:spacing w:beforeLines="50" w:before="120" w:line="360" w:lineRule="auto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2D5EF9F" wp14:editId="14569D00">
            <wp:extent cx="4913630" cy="281305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5246" cy="281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F41E08C" w14:textId="77777777" w:rsidR="00505347" w:rsidRPr="001E3B19" w:rsidRDefault="008F4029">
      <w:pPr>
        <w:spacing w:beforeLines="50" w:before="120" w:line="360" w:lineRule="auto"/>
        <w:jc w:val="center"/>
        <w:rPr>
          <w:b/>
          <w:lang w:eastAsia="zh-CN"/>
        </w:rPr>
      </w:pPr>
      <w:r w:rsidRPr="001E3B19">
        <w:rPr>
          <w:rFonts w:hint="eastAsia"/>
          <w:b/>
        </w:rPr>
        <w:t xml:space="preserve">Figure 1: </w:t>
      </w:r>
      <w:r w:rsidRPr="001E3B19">
        <w:rPr>
          <w:b/>
          <w:lang w:eastAsia="ko-KR"/>
        </w:rPr>
        <w:t>Channel generation procedure with blockage model</w:t>
      </w:r>
      <w:r w:rsidRPr="001E3B19">
        <w:rPr>
          <w:rFonts w:hint="eastAsia"/>
          <w:b/>
        </w:rPr>
        <w:t xml:space="preserve"> for </w:t>
      </w:r>
      <w:proofErr w:type="spellStart"/>
      <w:r w:rsidRPr="001E3B19">
        <w:rPr>
          <w:rFonts w:hint="eastAsia"/>
          <w:b/>
        </w:rPr>
        <w:t>Uu</w:t>
      </w:r>
      <w:proofErr w:type="spellEnd"/>
      <w:r w:rsidRPr="001E3B19">
        <w:rPr>
          <w:rFonts w:hint="eastAsia"/>
          <w:b/>
        </w:rPr>
        <w:t xml:space="preserve"> link</w:t>
      </w:r>
    </w:p>
    <w:p w14:paraId="3D502B08" w14:textId="77777777" w:rsidR="00505347" w:rsidRDefault="008F4029">
      <w:pPr>
        <w:spacing w:beforeLines="50" w:before="120" w:line="360" w:lineRule="auto"/>
        <w:rPr>
          <w:lang w:eastAsia="zh-CN"/>
        </w:rPr>
      </w:pPr>
      <w:r>
        <w:rPr>
          <w:rFonts w:hint="eastAsia"/>
        </w:rPr>
        <w:t xml:space="preserve">For </w:t>
      </w:r>
      <w:r>
        <w:t>simplicity</w:t>
      </w:r>
      <w:r>
        <w:rPr>
          <w:rFonts w:hint="eastAsia"/>
        </w:rPr>
        <w:t xml:space="preserve">, the method in NR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link blockage model generation can be a reference for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channel model for above 6</w:t>
      </w:r>
      <w:r>
        <w:t xml:space="preserve"> </w:t>
      </w:r>
      <w:r>
        <w:rPr>
          <w:rFonts w:hint="eastAsia"/>
        </w:rPr>
        <w:t>G</w:t>
      </w:r>
      <w:r>
        <w:t>Hz</w:t>
      </w:r>
      <w:r>
        <w:rPr>
          <w:rFonts w:hint="eastAsia"/>
          <w:lang w:eastAsia="zh-CN"/>
        </w:rPr>
        <w:t>.</w:t>
      </w:r>
    </w:p>
    <w:p w14:paraId="478FB962" w14:textId="77777777" w:rsidR="00505347" w:rsidRDefault="008F4029">
      <w:pPr>
        <w:spacing w:beforeLines="50" w:before="120" w:line="360" w:lineRule="auto"/>
        <w:jc w:val="center"/>
        <w:rPr>
          <w:lang w:eastAsia="zh-CN"/>
        </w:rPr>
      </w:pPr>
      <w:r>
        <w:object w:dxaOrig="9544" w:dyaOrig="4080" w14:anchorId="59D1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04pt" o:ole="">
            <v:imagedata r:id="rId8" o:title=""/>
          </v:shape>
          <o:OLEObject Type="Embed" ProgID="Visio.Drawing.11" ShapeID="_x0000_i1025" DrawAspect="Content" ObjectID="_1580300839" r:id="rId9"/>
        </w:object>
      </w:r>
    </w:p>
    <w:p w14:paraId="6FC7B885" w14:textId="77777777" w:rsidR="00505347" w:rsidRPr="001E3B19" w:rsidRDefault="008F4029">
      <w:pPr>
        <w:spacing w:beforeLines="50" w:before="120" w:line="360" w:lineRule="auto"/>
        <w:jc w:val="center"/>
        <w:rPr>
          <w:b/>
          <w:lang w:eastAsia="zh-CN"/>
        </w:rPr>
      </w:pPr>
      <w:r w:rsidRPr="001E3B19">
        <w:rPr>
          <w:rFonts w:hint="eastAsia"/>
          <w:b/>
        </w:rPr>
        <w:t xml:space="preserve">Figure 2: </w:t>
      </w:r>
      <w:r w:rsidRPr="001E3B19">
        <w:rPr>
          <w:b/>
          <w:lang w:eastAsia="ko-KR"/>
        </w:rPr>
        <w:t>Channel generation procedure with blockage model</w:t>
      </w:r>
      <w:r w:rsidRPr="001E3B19">
        <w:rPr>
          <w:rFonts w:hint="eastAsia"/>
          <w:b/>
        </w:rPr>
        <w:t xml:space="preserve"> for </w:t>
      </w:r>
      <w:proofErr w:type="spellStart"/>
      <w:r w:rsidRPr="001E3B19">
        <w:rPr>
          <w:rFonts w:hint="eastAsia"/>
          <w:b/>
        </w:rPr>
        <w:t>sidelink</w:t>
      </w:r>
      <w:proofErr w:type="spellEnd"/>
    </w:p>
    <w:p w14:paraId="5BFEB0F0" w14:textId="77777777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lastRenderedPageBreak/>
        <w:t xml:space="preserve">The blockage impact to pathloss or cluster </w:t>
      </w:r>
      <w:r>
        <w:rPr>
          <w:sz w:val="20"/>
        </w:rPr>
        <w:t>attenuations</w:t>
      </w:r>
      <w:r>
        <w:rPr>
          <w:rFonts w:hint="eastAsia"/>
          <w:sz w:val="20"/>
        </w:rPr>
        <w:t xml:space="preserve"> is also modeled as an add-on feature, which depends on the blockage status of the communication link.</w:t>
      </w:r>
    </w:p>
    <w:p w14:paraId="54D6D34F" w14:textId="0721B1C3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rFonts w:cs="Times New Roman"/>
        </w:rPr>
      </w:pPr>
      <w:r w:rsidRPr="00B51E6C">
        <w:rPr>
          <w:rFonts w:cs="Times New Roman"/>
          <w:b/>
          <w:bCs/>
          <w:sz w:val="20"/>
        </w:rPr>
        <w:t>Proposal</w:t>
      </w:r>
      <w:r w:rsidR="00B51E6C">
        <w:rPr>
          <w:rFonts w:cs="Times New Roman"/>
          <w:b/>
          <w:bCs/>
          <w:sz w:val="20"/>
        </w:rPr>
        <w:t xml:space="preserve"> 2: </w:t>
      </w:r>
      <w:r>
        <w:rPr>
          <w:sz w:val="20"/>
        </w:rPr>
        <w:t>T</w:t>
      </w:r>
      <w:r>
        <w:rPr>
          <w:rFonts w:hint="eastAsia"/>
          <w:sz w:val="20"/>
        </w:rPr>
        <w:t xml:space="preserve">he modeling procedure in </w:t>
      </w:r>
      <w:r>
        <w:rPr>
          <w:sz w:val="20"/>
        </w:rPr>
        <w:t>F</w:t>
      </w:r>
      <w:r>
        <w:rPr>
          <w:rFonts w:hint="eastAsia"/>
          <w:sz w:val="20"/>
        </w:rPr>
        <w:t xml:space="preserve">igure 2 is considered for the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channel model.</w:t>
      </w:r>
    </w:p>
    <w:p w14:paraId="50755BA9" w14:textId="7D8F6F44" w:rsidR="00505347" w:rsidRDefault="008F4029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rFonts w:hint="eastAsia"/>
          <w:sz w:val="20"/>
        </w:rPr>
        <w:t>The effect</w:t>
      </w:r>
      <w:r>
        <w:rPr>
          <w:sz w:val="20"/>
        </w:rPr>
        <w:t>s</w:t>
      </w:r>
      <w:r>
        <w:rPr>
          <w:rFonts w:hint="eastAsia"/>
          <w:sz w:val="20"/>
        </w:rPr>
        <w:t xml:space="preserve"> of blockage can be sensitive to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scenario, blocker density, frequency and distance between blocker and Tx/Rx. So</w:t>
      </w:r>
      <w:r>
        <w:rPr>
          <w:sz w:val="20"/>
        </w:rPr>
        <w:t>,</w:t>
      </w:r>
      <w:r>
        <w:rPr>
          <w:rFonts w:hint="eastAsia"/>
          <w:sz w:val="20"/>
        </w:rPr>
        <w:t xml:space="preserve"> extensive simulation</w:t>
      </w:r>
      <w:r>
        <w:rPr>
          <w:sz w:val="20"/>
        </w:rPr>
        <w:t>s</w:t>
      </w:r>
      <w:r>
        <w:rPr>
          <w:rFonts w:hint="eastAsia"/>
          <w:sz w:val="20"/>
        </w:rPr>
        <w:t xml:space="preserve"> in various conditions need to be studied. Then we can acquire the power attenuation for pathloss and for each path (or cluster) </w:t>
      </w:r>
      <w:r>
        <w:rPr>
          <w:sz w:val="20"/>
        </w:rPr>
        <w:t xml:space="preserve">falling into the impact coverage of blockage </w:t>
      </w:r>
      <w:r>
        <w:rPr>
          <w:rFonts w:hint="eastAsia"/>
          <w:sz w:val="20"/>
        </w:rPr>
        <w:t>[9].</w:t>
      </w:r>
    </w:p>
    <w:p w14:paraId="414A33B1" w14:textId="649D4722" w:rsidR="00505347" w:rsidRDefault="00B51E6C">
      <w:pPr>
        <w:spacing w:beforeLines="50" w:before="120" w:line="360" w:lineRule="auto"/>
        <w:rPr>
          <w:lang w:eastAsia="zh-CN"/>
        </w:rPr>
      </w:pPr>
      <w:r>
        <w:rPr>
          <w:b/>
          <w:bCs/>
          <w:szCs w:val="22"/>
        </w:rPr>
        <w:t>Proposal 3:</w:t>
      </w:r>
      <w:r w:rsidR="008F4029">
        <w:rPr>
          <w:rFonts w:hint="eastAsia"/>
          <w:szCs w:val="22"/>
        </w:rPr>
        <w:t xml:space="preserve"> </w:t>
      </w:r>
      <w:r w:rsidR="008F4029">
        <w:rPr>
          <w:rFonts w:hint="eastAsia"/>
        </w:rPr>
        <w:t xml:space="preserve">Extensive simulation in various conditions need to be studied to acquire the power attenuation related parameters for pathloss and each path (or cluster) </w:t>
      </w:r>
      <w:r w:rsidR="008F4029">
        <w:t>falling into the impact coverage of blockage</w:t>
      </w:r>
      <w:r w:rsidR="008F4029">
        <w:rPr>
          <w:rFonts w:hint="eastAsia"/>
          <w:lang w:eastAsia="zh-CN"/>
        </w:rPr>
        <w:t>.</w:t>
      </w:r>
    </w:p>
    <w:p w14:paraId="56ADEA36" w14:textId="77777777" w:rsidR="00505347" w:rsidRDefault="008F4029">
      <w:pPr>
        <w:pStyle w:val="Heading1"/>
        <w:jc w:val="both"/>
        <w:rPr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3 </w:t>
      </w:r>
      <w:r>
        <w:rPr>
          <w:color w:val="000000"/>
          <w:lang w:val="en-US"/>
        </w:rPr>
        <w:t>Conclusion</w:t>
      </w:r>
    </w:p>
    <w:p w14:paraId="68FEFC72" w14:textId="77777777" w:rsidR="00505347" w:rsidRDefault="008F4029">
      <w:pPr>
        <w:rPr>
          <w:lang w:val="en-US" w:eastAsia="zh-CN"/>
        </w:rPr>
      </w:pPr>
      <w:r>
        <w:rPr>
          <w:lang w:val="en-US"/>
        </w:rPr>
        <w:t>This contribution focused on</w:t>
      </w:r>
      <w:r>
        <w:rPr>
          <w:rFonts w:hint="eastAsia"/>
          <w:lang w:val="en-US" w:eastAsia="zh-CN"/>
        </w:rPr>
        <w:t xml:space="preserve"> V2V blockage channel model analysis for above 6G</w:t>
      </w:r>
      <w:r>
        <w:rPr>
          <w:lang w:val="en-US"/>
        </w:rPr>
        <w:t>. It also includes the 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proposals:</w:t>
      </w:r>
    </w:p>
    <w:p w14:paraId="192791A9" w14:textId="31EFE7C8" w:rsidR="00505347" w:rsidRDefault="00B51E6C">
      <w:pPr>
        <w:pStyle w:val="YJ--"/>
        <w:spacing w:beforeLines="50" w:before="120" w:afterLines="100" w:after="240" w:line="240" w:lineRule="auto"/>
        <w:ind w:firstLineChars="0" w:firstLine="0"/>
        <w:rPr>
          <w:sz w:val="20"/>
        </w:rPr>
      </w:pPr>
      <w:r>
        <w:rPr>
          <w:b/>
          <w:bCs/>
          <w:sz w:val="20"/>
        </w:rPr>
        <w:t>Proposal 1:</w:t>
      </w:r>
      <w:r w:rsidR="008F4029">
        <w:rPr>
          <w:rFonts w:hint="eastAsia"/>
          <w:sz w:val="20"/>
        </w:rPr>
        <w:t xml:space="preserve"> The </w:t>
      </w:r>
      <w:proofErr w:type="spellStart"/>
      <w:r w:rsidR="008F4029">
        <w:rPr>
          <w:rFonts w:hint="eastAsia"/>
          <w:sz w:val="20"/>
        </w:rPr>
        <w:t>sidelink</w:t>
      </w:r>
      <w:proofErr w:type="spellEnd"/>
      <w:r w:rsidR="008F4029">
        <w:rPr>
          <w:rFonts w:hint="eastAsia"/>
          <w:sz w:val="20"/>
        </w:rPr>
        <w:t xml:space="preserve"> blockage model is modeled in both large</w:t>
      </w:r>
      <w:r w:rsidR="008F4029">
        <w:rPr>
          <w:sz w:val="20"/>
        </w:rPr>
        <w:t>-</w:t>
      </w:r>
      <w:r w:rsidR="008F4029">
        <w:rPr>
          <w:rFonts w:hint="eastAsia"/>
          <w:sz w:val="20"/>
        </w:rPr>
        <w:t>scale level and small</w:t>
      </w:r>
      <w:r w:rsidR="008F4029">
        <w:rPr>
          <w:sz w:val="20"/>
        </w:rPr>
        <w:t>-</w:t>
      </w:r>
      <w:r w:rsidR="008F4029">
        <w:rPr>
          <w:rFonts w:hint="eastAsia"/>
          <w:sz w:val="20"/>
        </w:rPr>
        <w:t>scale level.</w:t>
      </w:r>
    </w:p>
    <w:p w14:paraId="1E0BB79E" w14:textId="77777777" w:rsidR="00505347" w:rsidRDefault="008F4029">
      <w:pPr>
        <w:pStyle w:val="YJ--"/>
        <w:numPr>
          <w:ilvl w:val="0"/>
          <w:numId w:val="8"/>
        </w:numPr>
        <w:spacing w:beforeLines="50" w:before="120" w:afterLines="100" w:after="240" w:line="240" w:lineRule="auto"/>
        <w:ind w:firstLineChars="0"/>
        <w:rPr>
          <w:sz w:val="20"/>
          <w:lang w:eastAsia="en-US"/>
        </w:rPr>
      </w:pPr>
      <w:r>
        <w:rPr>
          <w:rFonts w:hint="eastAsia"/>
          <w:sz w:val="20"/>
        </w:rPr>
        <w:t xml:space="preserve">For large scale level: By </w:t>
      </w:r>
      <w:r>
        <w:rPr>
          <w:rFonts w:hint="eastAsia"/>
          <w:sz w:val="20"/>
          <w:lang w:eastAsia="en-US"/>
        </w:rPr>
        <w:t xml:space="preserve">adding an additional loss </w:t>
      </w:r>
      <w:r>
        <w:rPr>
          <w:rFonts w:hint="eastAsia"/>
          <w:sz w:val="20"/>
        </w:rPr>
        <w:t>to</w:t>
      </w:r>
      <w:r>
        <w:rPr>
          <w:rFonts w:hint="eastAsia"/>
          <w:sz w:val="20"/>
          <w:lang w:eastAsia="en-US"/>
        </w:rPr>
        <w:t xml:space="preserve"> the pathloss equation</w:t>
      </w:r>
    </w:p>
    <w:p w14:paraId="428FFD38" w14:textId="2CA6CB8D" w:rsidR="00505347" w:rsidRDefault="008F4029">
      <w:pPr>
        <w:pStyle w:val="YJ--"/>
        <w:numPr>
          <w:ilvl w:val="0"/>
          <w:numId w:val="8"/>
        </w:numPr>
        <w:spacing w:beforeLines="50" w:before="120" w:afterLines="100" w:after="240" w:line="240" w:lineRule="auto"/>
        <w:ind w:firstLineChars="0"/>
        <w:rPr>
          <w:sz w:val="20"/>
        </w:rPr>
      </w:pPr>
      <w:r>
        <w:rPr>
          <w:rFonts w:hint="eastAsia"/>
          <w:sz w:val="20"/>
        </w:rPr>
        <w:t>For small scale level: The large</w:t>
      </w:r>
      <w:r>
        <w:rPr>
          <w:sz w:val="20"/>
        </w:rPr>
        <w:t>-</w:t>
      </w:r>
      <w:r>
        <w:rPr>
          <w:rFonts w:hint="eastAsia"/>
          <w:sz w:val="20"/>
        </w:rPr>
        <w:t xml:space="preserve">scale parameters are fixed, </w:t>
      </w:r>
      <w:r>
        <w:rPr>
          <w:sz w:val="20"/>
        </w:rPr>
        <w:t>so the attenuation of each cluster due to blockers should be determined</w:t>
      </w:r>
    </w:p>
    <w:p w14:paraId="28F21880" w14:textId="00E6B176" w:rsidR="00505347" w:rsidRDefault="00B51E6C">
      <w:pPr>
        <w:rPr>
          <w:lang w:val="en-US" w:eastAsia="zh-CN"/>
        </w:rPr>
      </w:pPr>
      <w:r>
        <w:rPr>
          <w:b/>
          <w:bCs/>
        </w:rPr>
        <w:t xml:space="preserve">Proposal 2: </w:t>
      </w:r>
      <w:r>
        <w:rPr>
          <w:szCs w:val="22"/>
        </w:rPr>
        <w:t>T</w:t>
      </w:r>
      <w:r w:rsidR="008F4029">
        <w:rPr>
          <w:rFonts w:hint="eastAsia"/>
          <w:szCs w:val="22"/>
        </w:rPr>
        <w:t xml:space="preserve">he </w:t>
      </w:r>
      <w:r w:rsidR="008F4029">
        <w:rPr>
          <w:szCs w:val="22"/>
        </w:rPr>
        <w:t>modelling</w:t>
      </w:r>
      <w:r w:rsidR="008F4029">
        <w:rPr>
          <w:rFonts w:hint="eastAsia"/>
          <w:szCs w:val="22"/>
        </w:rPr>
        <w:t xml:space="preserve"> procedure in figure 2 is considered for the </w:t>
      </w:r>
      <w:proofErr w:type="spellStart"/>
      <w:r w:rsidR="008F4029">
        <w:rPr>
          <w:rFonts w:hint="eastAsia"/>
          <w:szCs w:val="22"/>
        </w:rPr>
        <w:t>sidelink</w:t>
      </w:r>
      <w:proofErr w:type="spellEnd"/>
      <w:r w:rsidR="008F4029">
        <w:rPr>
          <w:rFonts w:hint="eastAsia"/>
          <w:szCs w:val="22"/>
        </w:rPr>
        <w:t xml:space="preserve"> channel model.</w:t>
      </w:r>
    </w:p>
    <w:p w14:paraId="6AA2A117" w14:textId="05902B5D" w:rsidR="00505347" w:rsidRDefault="00B51E6C">
      <w:pPr>
        <w:rPr>
          <w:rFonts w:ascii="Arial" w:hAnsi="Arial" w:cs="Arial"/>
          <w:lang w:eastAsia="zh-CN"/>
        </w:rPr>
      </w:pPr>
      <w:r>
        <w:rPr>
          <w:b/>
          <w:bCs/>
          <w:szCs w:val="22"/>
        </w:rPr>
        <w:t xml:space="preserve">Proposal 3: </w:t>
      </w:r>
      <w:r w:rsidR="008F4029">
        <w:rPr>
          <w:rFonts w:hint="eastAsia"/>
        </w:rPr>
        <w:t xml:space="preserve">Extensive simulation in various conditions need to be studied to acquire the power attenuation related parameters for pathloss and each path (or cluster) </w:t>
      </w:r>
      <w:r w:rsidR="008F4029">
        <w:t>falling into the impact coverage of blockage</w:t>
      </w:r>
    </w:p>
    <w:p w14:paraId="7C0AF134" w14:textId="77777777" w:rsidR="00505347" w:rsidRDefault="008F4029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14:paraId="4AD44FC7" w14:textId="77777777" w:rsidR="00505347" w:rsidRDefault="008F4029">
      <w:pPr>
        <w:numPr>
          <w:ilvl w:val="0"/>
          <w:numId w:val="9"/>
        </w:numPr>
        <w:jc w:val="both"/>
      </w:pPr>
      <w:r>
        <w:rPr>
          <w:rFonts w:hint="eastAsia"/>
          <w:sz w:val="18"/>
          <w:szCs w:val="18"/>
          <w:lang w:val="en-US" w:eastAsia="zh-CN"/>
        </w:rPr>
        <w:t>RP</w:t>
      </w:r>
      <w:r>
        <w:rPr>
          <w:lang w:val="en-US" w:eastAsia="zh-CN"/>
        </w:rPr>
        <w:t>-171093, Study on evaluation methodology of new V2X use cases for LTE and NR, West Palm Beach, USA, June 5 – 8, 2017.</w:t>
      </w:r>
    </w:p>
    <w:p w14:paraId="4E0550BF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bookmarkStart w:id="2" w:name="_Ref492665742"/>
      <w:r>
        <w:rPr>
          <w:rFonts w:eastAsia="MS Mincho"/>
          <w:lang w:eastAsia="ja-JP"/>
        </w:rPr>
        <w:t>R1-1715092, LG Electronics, Summary of email discussion [89-28] eV2X evaluation methodology, 3GPP TSG RAN WG1 Meeting #90, Prague, Czech Republic, 21st – 25th August 2017.</w:t>
      </w:r>
      <w:bookmarkEnd w:id="2"/>
    </w:p>
    <w:p w14:paraId="3CF785DB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>R1-1717293, “Summary of email discussion [90-30] on eV2X evaluation methodology”</w:t>
      </w:r>
    </w:p>
    <w:p w14:paraId="7ED6ED8F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eastAsia="zh-CN"/>
        </w:rPr>
        <w:t xml:space="preserve">R1-1721545, </w:t>
      </w:r>
      <w:r>
        <w:rPr>
          <w:lang w:val="en-US" w:eastAsia="zh-CN"/>
        </w:rPr>
        <w:t>“</w:t>
      </w:r>
      <w:r>
        <w:rPr>
          <w:lang w:eastAsia="zh-CN"/>
        </w:rPr>
        <w:t>Summary of email discussion [90b-NR-02] on eV2X evaluation methodology</w:t>
      </w:r>
      <w:r>
        <w:rPr>
          <w:lang w:val="en-US" w:eastAsia="zh-CN"/>
        </w:rPr>
        <w:t>”</w:t>
      </w:r>
    </w:p>
    <w:p w14:paraId="16648056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M. Jacob, S. Priebe, T. </w:t>
      </w:r>
      <w:proofErr w:type="spellStart"/>
      <w:r>
        <w:rPr>
          <w:lang w:val="en-US" w:eastAsia="zh-CN"/>
        </w:rPr>
        <w:t>Kurner</w:t>
      </w:r>
      <w:proofErr w:type="spellEnd"/>
      <w:r>
        <w:rPr>
          <w:lang w:val="en-US" w:eastAsia="zh-CN"/>
        </w:rPr>
        <w:t xml:space="preserve">, M. Peter, M. </w:t>
      </w:r>
      <w:proofErr w:type="spellStart"/>
      <w:r>
        <w:rPr>
          <w:lang w:val="en-US" w:eastAsia="zh-CN"/>
        </w:rPr>
        <w:t>Wisotzki</w:t>
      </w:r>
      <w:proofErr w:type="spellEnd"/>
      <w:r>
        <w:rPr>
          <w:lang w:val="en-US" w:eastAsia="zh-CN"/>
        </w:rPr>
        <w:t xml:space="preserve">, R. </w:t>
      </w:r>
      <w:proofErr w:type="spellStart"/>
      <w:r>
        <w:rPr>
          <w:lang w:val="en-US" w:eastAsia="zh-CN"/>
        </w:rPr>
        <w:t>Felbecker</w:t>
      </w:r>
      <w:proofErr w:type="spellEnd"/>
      <w:r>
        <w:rPr>
          <w:lang w:val="en-US" w:eastAsia="zh-CN"/>
        </w:rPr>
        <w:t xml:space="preserve">, and W. </w:t>
      </w:r>
      <w:proofErr w:type="spellStart"/>
      <w:r>
        <w:rPr>
          <w:lang w:val="en-US" w:eastAsia="zh-CN"/>
        </w:rPr>
        <w:t>Keusgen</w:t>
      </w:r>
      <w:proofErr w:type="spellEnd"/>
      <w:r>
        <w:rPr>
          <w:lang w:val="en-US" w:eastAsia="zh-CN"/>
        </w:rPr>
        <w:t xml:space="preserve">, “Fundamental analyses of 60 </w:t>
      </w:r>
      <w:proofErr w:type="spellStart"/>
      <w:r>
        <w:rPr>
          <w:lang w:val="en-US" w:eastAsia="zh-CN"/>
        </w:rPr>
        <w:t>ghz</w:t>
      </w:r>
      <w:proofErr w:type="spellEnd"/>
      <w:r>
        <w:rPr>
          <w:lang w:val="en-US" w:eastAsia="zh-CN"/>
        </w:rPr>
        <w:t xml:space="preserve"> human blockage,” in Antennas and Propagation (</w:t>
      </w:r>
      <w:proofErr w:type="spellStart"/>
      <w:r>
        <w:rPr>
          <w:lang w:val="en-US" w:eastAsia="zh-CN"/>
        </w:rPr>
        <w:t>EuCAP</w:t>
      </w:r>
      <w:proofErr w:type="spellEnd"/>
      <w:r>
        <w:rPr>
          <w:lang w:val="en-US" w:eastAsia="zh-CN"/>
        </w:rPr>
        <w:t>), 2013 7th European Conference on, April 2013, pp. 117–121</w:t>
      </w:r>
    </w:p>
    <w:p w14:paraId="289C209C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M. Jacob, S. Priebe, A. </w:t>
      </w:r>
      <w:proofErr w:type="spellStart"/>
      <w:r>
        <w:rPr>
          <w:lang w:val="en-US" w:eastAsia="zh-CN"/>
        </w:rPr>
        <w:t>Maltsev</w:t>
      </w:r>
      <w:proofErr w:type="spellEnd"/>
      <w:r>
        <w:rPr>
          <w:lang w:val="en-US" w:eastAsia="zh-CN"/>
        </w:rPr>
        <w:t xml:space="preserve">, A. </w:t>
      </w:r>
      <w:proofErr w:type="spellStart"/>
      <w:r>
        <w:rPr>
          <w:lang w:val="en-US" w:eastAsia="zh-CN"/>
        </w:rPr>
        <w:t>Lomayev</w:t>
      </w:r>
      <w:proofErr w:type="spellEnd"/>
      <w:r>
        <w:rPr>
          <w:lang w:val="en-US" w:eastAsia="zh-CN"/>
        </w:rPr>
        <w:t xml:space="preserve">, V. Erceg, and T. </w:t>
      </w:r>
      <w:proofErr w:type="spellStart"/>
      <w:r>
        <w:rPr>
          <w:lang w:val="en-US" w:eastAsia="zh-CN"/>
        </w:rPr>
        <w:t>Kurner</w:t>
      </w:r>
      <w:proofErr w:type="spellEnd"/>
      <w:r>
        <w:rPr>
          <w:lang w:val="en-US" w:eastAsia="zh-CN"/>
        </w:rPr>
        <w:t xml:space="preserve">, “A ray tracing based stochastic human blockage model for the </w:t>
      </w:r>
      <w:proofErr w:type="spellStart"/>
      <w:r>
        <w:rPr>
          <w:lang w:val="en-US" w:eastAsia="zh-CN"/>
        </w:rPr>
        <w:t>ieee</w:t>
      </w:r>
      <w:proofErr w:type="spellEnd"/>
      <w:r>
        <w:rPr>
          <w:lang w:val="en-US" w:eastAsia="zh-CN"/>
        </w:rPr>
        <w:t xml:space="preserve"> 802.11ad 60 </w:t>
      </w:r>
      <w:proofErr w:type="spellStart"/>
      <w:r>
        <w:rPr>
          <w:lang w:val="en-US" w:eastAsia="zh-CN"/>
        </w:rPr>
        <w:t>ghz</w:t>
      </w:r>
      <w:proofErr w:type="spellEnd"/>
      <w:r>
        <w:rPr>
          <w:lang w:val="en-US" w:eastAsia="zh-CN"/>
        </w:rPr>
        <w:t xml:space="preserve"> channel model,” in Antennas and Propagation (EUCAP), Proceedings of the 5th European Conference on, April 2011, pp. 3084–3088.</w:t>
      </w:r>
    </w:p>
    <w:p w14:paraId="089BD173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D. </w:t>
      </w:r>
      <w:proofErr w:type="spellStart"/>
      <w:r>
        <w:rPr>
          <w:lang w:val="en-US" w:eastAsia="zh-CN"/>
        </w:rPr>
        <w:t>Cassioli</w:t>
      </w:r>
      <w:proofErr w:type="spellEnd"/>
      <w:r>
        <w:rPr>
          <w:lang w:val="en-US" w:eastAsia="zh-CN"/>
        </w:rPr>
        <w:t xml:space="preserve"> and N. </w:t>
      </w:r>
      <w:proofErr w:type="spellStart"/>
      <w:r>
        <w:rPr>
          <w:lang w:val="en-US" w:eastAsia="zh-CN"/>
        </w:rPr>
        <w:t>Rendevski</w:t>
      </w:r>
      <w:proofErr w:type="spellEnd"/>
      <w:r>
        <w:rPr>
          <w:lang w:val="en-US" w:eastAsia="zh-CN"/>
        </w:rPr>
        <w:t xml:space="preserve">, “A statistical model for the shadowing induced by human bodies in the proximity of a </w:t>
      </w:r>
      <w:proofErr w:type="spellStart"/>
      <w:r>
        <w:rPr>
          <w:lang w:val="en-US" w:eastAsia="zh-CN"/>
        </w:rPr>
        <w:t>mmwaves</w:t>
      </w:r>
      <w:proofErr w:type="spellEnd"/>
      <w:r>
        <w:rPr>
          <w:lang w:val="en-US" w:eastAsia="zh-CN"/>
        </w:rPr>
        <w:t xml:space="preserve"> radio link,” in Communications Workshops (ICC), 2014 IEEE International Conference on, June 2014, pp. 14–19. </w:t>
      </w:r>
    </w:p>
    <w:p w14:paraId="5CBED4E9" w14:textId="77777777" w:rsidR="00505347" w:rsidRDefault="008F4029">
      <w:pPr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ja-JP"/>
        </w:rPr>
        <w:t>3GPP TR 38.9</w:t>
      </w:r>
      <w:r>
        <w:rPr>
          <w:lang w:val="en-US" w:eastAsia="zh-CN"/>
        </w:rPr>
        <w:t>01: “Study on channel model for frequencies from 0.5 to 100 GHz”</w:t>
      </w:r>
    </w:p>
    <w:p w14:paraId="1FFAC7F6" w14:textId="77777777" w:rsidR="00505347" w:rsidRDefault="008F4029">
      <w:pPr>
        <w:numPr>
          <w:ilvl w:val="0"/>
          <w:numId w:val="9"/>
        </w:numPr>
        <w:jc w:val="both"/>
      </w:pPr>
      <w:r>
        <w:rPr>
          <w:lang w:val="en-US" w:eastAsia="zh-CN"/>
        </w:rPr>
        <w:t>R1-161621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“Statistical modeling of human </w:t>
      </w:r>
      <w:proofErr w:type="spellStart"/>
      <w:r>
        <w:rPr>
          <w:lang w:val="en-US" w:eastAsia="zh-CN"/>
        </w:rPr>
        <w:t>blockage_final</w:t>
      </w:r>
      <w:proofErr w:type="spellEnd"/>
      <w:r>
        <w:rPr>
          <w:lang w:val="en-US" w:eastAsia="zh-CN"/>
        </w:rPr>
        <w:t>”</w:t>
      </w:r>
    </w:p>
    <w:sectPr w:rsidR="0050534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B01F7"/>
    <w:multiLevelType w:val="multilevel"/>
    <w:tmpl w:val="0D1B01F7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485C22"/>
    <w:multiLevelType w:val="multilevel"/>
    <w:tmpl w:val="17485C2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43F3E"/>
    <w:multiLevelType w:val="multilevel"/>
    <w:tmpl w:val="1B343F3E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596EEB"/>
    <w:multiLevelType w:val="multilevel"/>
    <w:tmpl w:val="1E596EEB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C46322"/>
    <w:multiLevelType w:val="multilevel"/>
    <w:tmpl w:val="22C4632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781049E"/>
    <w:multiLevelType w:val="multilevel"/>
    <w:tmpl w:val="3781049E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8" w15:restartNumberingAfterBreak="0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602A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B76AC"/>
    <w:rsid w:val="000C05F2"/>
    <w:rsid w:val="000C2405"/>
    <w:rsid w:val="000C2712"/>
    <w:rsid w:val="000C2D30"/>
    <w:rsid w:val="000C3EDA"/>
    <w:rsid w:val="000C4160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8B7"/>
    <w:rsid w:val="00141910"/>
    <w:rsid w:val="001443FB"/>
    <w:rsid w:val="00144C87"/>
    <w:rsid w:val="0014527B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7FB6"/>
    <w:rsid w:val="001905BD"/>
    <w:rsid w:val="00192FE6"/>
    <w:rsid w:val="00193004"/>
    <w:rsid w:val="00193986"/>
    <w:rsid w:val="00193EEC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3B19"/>
    <w:rsid w:val="001E496B"/>
    <w:rsid w:val="001E4D4F"/>
    <w:rsid w:val="001E5DCC"/>
    <w:rsid w:val="001E74BA"/>
    <w:rsid w:val="001E766E"/>
    <w:rsid w:val="001E76D8"/>
    <w:rsid w:val="001F01FB"/>
    <w:rsid w:val="001F05F6"/>
    <w:rsid w:val="001F0658"/>
    <w:rsid w:val="001F0E92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16447"/>
    <w:rsid w:val="00220B12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31D9"/>
    <w:rsid w:val="00284E32"/>
    <w:rsid w:val="00285510"/>
    <w:rsid w:val="00286643"/>
    <w:rsid w:val="00286965"/>
    <w:rsid w:val="00286CE8"/>
    <w:rsid w:val="00290006"/>
    <w:rsid w:val="00290748"/>
    <w:rsid w:val="0029136E"/>
    <w:rsid w:val="00291B76"/>
    <w:rsid w:val="00292399"/>
    <w:rsid w:val="002939AF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1E6E"/>
    <w:rsid w:val="0031393C"/>
    <w:rsid w:val="00313B16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0F5"/>
    <w:rsid w:val="0034111C"/>
    <w:rsid w:val="0034120E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37AE"/>
    <w:rsid w:val="003A44D8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667"/>
    <w:rsid w:val="003E156A"/>
    <w:rsid w:val="003E2A2D"/>
    <w:rsid w:val="003E56B8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367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5EA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513"/>
    <w:rsid w:val="00477A3F"/>
    <w:rsid w:val="00477BF4"/>
    <w:rsid w:val="00480ABC"/>
    <w:rsid w:val="004816C2"/>
    <w:rsid w:val="00482AD4"/>
    <w:rsid w:val="00483261"/>
    <w:rsid w:val="00484DCA"/>
    <w:rsid w:val="00484E6B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97E38"/>
    <w:rsid w:val="004A0AA8"/>
    <w:rsid w:val="004A1FE4"/>
    <w:rsid w:val="004A2CA9"/>
    <w:rsid w:val="004A3998"/>
    <w:rsid w:val="004A4EB8"/>
    <w:rsid w:val="004A537D"/>
    <w:rsid w:val="004A5562"/>
    <w:rsid w:val="004A5D9B"/>
    <w:rsid w:val="004A6448"/>
    <w:rsid w:val="004A7273"/>
    <w:rsid w:val="004A7932"/>
    <w:rsid w:val="004B2965"/>
    <w:rsid w:val="004B4221"/>
    <w:rsid w:val="004B4224"/>
    <w:rsid w:val="004B4647"/>
    <w:rsid w:val="004B629A"/>
    <w:rsid w:val="004B6E1D"/>
    <w:rsid w:val="004B74FF"/>
    <w:rsid w:val="004B7F28"/>
    <w:rsid w:val="004C0D05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6F8F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05347"/>
    <w:rsid w:val="00510E2C"/>
    <w:rsid w:val="00511079"/>
    <w:rsid w:val="0051223B"/>
    <w:rsid w:val="00512829"/>
    <w:rsid w:val="0051423C"/>
    <w:rsid w:val="00514C91"/>
    <w:rsid w:val="00516241"/>
    <w:rsid w:val="00516FD9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10B"/>
    <w:rsid w:val="00541851"/>
    <w:rsid w:val="0054265B"/>
    <w:rsid w:val="005428C6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1FE9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AB9"/>
    <w:rsid w:val="00635E3E"/>
    <w:rsid w:val="00637762"/>
    <w:rsid w:val="00643CF9"/>
    <w:rsid w:val="00644A21"/>
    <w:rsid w:val="00645024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96D7A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57CA"/>
    <w:rsid w:val="00837703"/>
    <w:rsid w:val="00841D1A"/>
    <w:rsid w:val="00845B00"/>
    <w:rsid w:val="00845C38"/>
    <w:rsid w:val="00846292"/>
    <w:rsid w:val="00847465"/>
    <w:rsid w:val="00847E8F"/>
    <w:rsid w:val="008506C0"/>
    <w:rsid w:val="00850A2D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87E"/>
    <w:rsid w:val="0089390C"/>
    <w:rsid w:val="00894737"/>
    <w:rsid w:val="00894FDC"/>
    <w:rsid w:val="0089549B"/>
    <w:rsid w:val="008970DA"/>
    <w:rsid w:val="008A0297"/>
    <w:rsid w:val="008A0FF0"/>
    <w:rsid w:val="008A133D"/>
    <w:rsid w:val="008A16F9"/>
    <w:rsid w:val="008A1D3E"/>
    <w:rsid w:val="008A450D"/>
    <w:rsid w:val="008A641B"/>
    <w:rsid w:val="008A675E"/>
    <w:rsid w:val="008A750C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A16"/>
    <w:rsid w:val="008F3D92"/>
    <w:rsid w:val="008F4029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5D77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1A51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0223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1E6C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1475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C637C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1C5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13CC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6F1D"/>
    <w:rsid w:val="00C8260B"/>
    <w:rsid w:val="00C82B0B"/>
    <w:rsid w:val="00C82C3A"/>
    <w:rsid w:val="00C84591"/>
    <w:rsid w:val="00C84D39"/>
    <w:rsid w:val="00C8511D"/>
    <w:rsid w:val="00C85799"/>
    <w:rsid w:val="00C85D76"/>
    <w:rsid w:val="00C862DE"/>
    <w:rsid w:val="00C86414"/>
    <w:rsid w:val="00C878C3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1654"/>
    <w:rsid w:val="00CC26DB"/>
    <w:rsid w:val="00CC39AB"/>
    <w:rsid w:val="00CC3DAA"/>
    <w:rsid w:val="00CC478B"/>
    <w:rsid w:val="00CC4C2C"/>
    <w:rsid w:val="00CD0908"/>
    <w:rsid w:val="00CD121E"/>
    <w:rsid w:val="00CD1528"/>
    <w:rsid w:val="00CD16E3"/>
    <w:rsid w:val="00CD32CD"/>
    <w:rsid w:val="00CD3A07"/>
    <w:rsid w:val="00CD3CC9"/>
    <w:rsid w:val="00CD51B4"/>
    <w:rsid w:val="00CD761D"/>
    <w:rsid w:val="00CD7A28"/>
    <w:rsid w:val="00CD7E3F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B38"/>
    <w:rsid w:val="00D01EAD"/>
    <w:rsid w:val="00D02333"/>
    <w:rsid w:val="00D025A1"/>
    <w:rsid w:val="00D064E8"/>
    <w:rsid w:val="00D065CD"/>
    <w:rsid w:val="00D06900"/>
    <w:rsid w:val="00D07FA9"/>
    <w:rsid w:val="00D110FB"/>
    <w:rsid w:val="00D11888"/>
    <w:rsid w:val="00D12325"/>
    <w:rsid w:val="00D14136"/>
    <w:rsid w:val="00D148AF"/>
    <w:rsid w:val="00D15E7E"/>
    <w:rsid w:val="00D15F19"/>
    <w:rsid w:val="00D17440"/>
    <w:rsid w:val="00D209E3"/>
    <w:rsid w:val="00D20C26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3A89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204"/>
    <w:rsid w:val="00DB0857"/>
    <w:rsid w:val="00DB0D2A"/>
    <w:rsid w:val="00DB2A37"/>
    <w:rsid w:val="00DB3A47"/>
    <w:rsid w:val="00DB5E47"/>
    <w:rsid w:val="00DB6DB0"/>
    <w:rsid w:val="00DC1F40"/>
    <w:rsid w:val="00DD14F6"/>
    <w:rsid w:val="00DD1B7E"/>
    <w:rsid w:val="00DD229E"/>
    <w:rsid w:val="00DD3640"/>
    <w:rsid w:val="00DD43B5"/>
    <w:rsid w:val="00DD4717"/>
    <w:rsid w:val="00DD55E0"/>
    <w:rsid w:val="00DD5C59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19DB"/>
    <w:rsid w:val="00E32CE5"/>
    <w:rsid w:val="00E34F76"/>
    <w:rsid w:val="00E353C3"/>
    <w:rsid w:val="00E35D49"/>
    <w:rsid w:val="00E369B3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3C0D"/>
    <w:rsid w:val="00E54571"/>
    <w:rsid w:val="00E546A2"/>
    <w:rsid w:val="00E562C9"/>
    <w:rsid w:val="00E567C9"/>
    <w:rsid w:val="00E56B6B"/>
    <w:rsid w:val="00E604C4"/>
    <w:rsid w:val="00E604ED"/>
    <w:rsid w:val="00E61300"/>
    <w:rsid w:val="00E61DEF"/>
    <w:rsid w:val="00E65E8F"/>
    <w:rsid w:val="00E7013A"/>
    <w:rsid w:val="00E73642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6BEC"/>
    <w:rsid w:val="00E87FF4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4EB3"/>
    <w:rsid w:val="00EC651E"/>
    <w:rsid w:val="00EC6793"/>
    <w:rsid w:val="00EC745E"/>
    <w:rsid w:val="00ED011F"/>
    <w:rsid w:val="00ED0FF7"/>
    <w:rsid w:val="00ED1FB8"/>
    <w:rsid w:val="00ED28AE"/>
    <w:rsid w:val="00ED2C2C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6703"/>
    <w:rsid w:val="00F67838"/>
    <w:rsid w:val="00F710FE"/>
    <w:rsid w:val="00F71A07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304D"/>
    <w:rsid w:val="00F833C5"/>
    <w:rsid w:val="00F841B2"/>
    <w:rsid w:val="00F8449B"/>
    <w:rsid w:val="00F84702"/>
    <w:rsid w:val="00F85691"/>
    <w:rsid w:val="00F86327"/>
    <w:rsid w:val="00F8632B"/>
    <w:rsid w:val="00F86A54"/>
    <w:rsid w:val="00F87094"/>
    <w:rsid w:val="00F87AB3"/>
    <w:rsid w:val="00F913DC"/>
    <w:rsid w:val="00F91BCE"/>
    <w:rsid w:val="00F91DDA"/>
    <w:rsid w:val="00F92DCF"/>
    <w:rsid w:val="00F94182"/>
    <w:rsid w:val="00F94DF9"/>
    <w:rsid w:val="00F956BF"/>
    <w:rsid w:val="00F95AE6"/>
    <w:rsid w:val="00F95E54"/>
    <w:rsid w:val="00F97A5C"/>
    <w:rsid w:val="00F97A9D"/>
    <w:rsid w:val="00FA11D6"/>
    <w:rsid w:val="00FA1DCA"/>
    <w:rsid w:val="00FA2A9B"/>
    <w:rsid w:val="00FA6942"/>
    <w:rsid w:val="00FA6E7F"/>
    <w:rsid w:val="00FA7114"/>
    <w:rsid w:val="00FB013C"/>
    <w:rsid w:val="00FB0B1B"/>
    <w:rsid w:val="00FB0FB7"/>
    <w:rsid w:val="00FB1A3C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67BE"/>
    <w:rsid w:val="01000862"/>
    <w:rsid w:val="0177224C"/>
    <w:rsid w:val="026239EE"/>
    <w:rsid w:val="02FB0627"/>
    <w:rsid w:val="038719C7"/>
    <w:rsid w:val="042B3B75"/>
    <w:rsid w:val="04833F38"/>
    <w:rsid w:val="055152D2"/>
    <w:rsid w:val="065707CA"/>
    <w:rsid w:val="079F2BE3"/>
    <w:rsid w:val="0879301D"/>
    <w:rsid w:val="088B3DA1"/>
    <w:rsid w:val="08C31759"/>
    <w:rsid w:val="090924E6"/>
    <w:rsid w:val="09257B9D"/>
    <w:rsid w:val="09E94555"/>
    <w:rsid w:val="0B37418B"/>
    <w:rsid w:val="0B460D83"/>
    <w:rsid w:val="0D2802EF"/>
    <w:rsid w:val="0DD92AA9"/>
    <w:rsid w:val="0DE33F4E"/>
    <w:rsid w:val="0E2B43C8"/>
    <w:rsid w:val="0EFD63FB"/>
    <w:rsid w:val="0F787D5D"/>
    <w:rsid w:val="0FB957FE"/>
    <w:rsid w:val="106C5A8A"/>
    <w:rsid w:val="120F0DB6"/>
    <w:rsid w:val="121B07DE"/>
    <w:rsid w:val="12BB6636"/>
    <w:rsid w:val="1490613B"/>
    <w:rsid w:val="14CD6314"/>
    <w:rsid w:val="16B43D20"/>
    <w:rsid w:val="16C827A2"/>
    <w:rsid w:val="17945F5F"/>
    <w:rsid w:val="17C25C69"/>
    <w:rsid w:val="195C192A"/>
    <w:rsid w:val="19604B8C"/>
    <w:rsid w:val="19AF3396"/>
    <w:rsid w:val="19CC2CD3"/>
    <w:rsid w:val="1C6861A0"/>
    <w:rsid w:val="1F927A05"/>
    <w:rsid w:val="23A823EF"/>
    <w:rsid w:val="24633593"/>
    <w:rsid w:val="24EE6797"/>
    <w:rsid w:val="251435D7"/>
    <w:rsid w:val="254B5E15"/>
    <w:rsid w:val="273A05E4"/>
    <w:rsid w:val="28144D04"/>
    <w:rsid w:val="296C6CB5"/>
    <w:rsid w:val="2A221D5C"/>
    <w:rsid w:val="2A2828A8"/>
    <w:rsid w:val="2A3209F4"/>
    <w:rsid w:val="2A602992"/>
    <w:rsid w:val="2BA6212D"/>
    <w:rsid w:val="2C657956"/>
    <w:rsid w:val="2C720554"/>
    <w:rsid w:val="2E104E1F"/>
    <w:rsid w:val="2E5B756D"/>
    <w:rsid w:val="2EA05CBB"/>
    <w:rsid w:val="2F445456"/>
    <w:rsid w:val="300538D8"/>
    <w:rsid w:val="304161A8"/>
    <w:rsid w:val="30A302FF"/>
    <w:rsid w:val="30EF14DB"/>
    <w:rsid w:val="3105349E"/>
    <w:rsid w:val="317171A6"/>
    <w:rsid w:val="31D90098"/>
    <w:rsid w:val="35130680"/>
    <w:rsid w:val="35A0470B"/>
    <w:rsid w:val="376B0646"/>
    <w:rsid w:val="393F06AD"/>
    <w:rsid w:val="394B1C7A"/>
    <w:rsid w:val="3990108D"/>
    <w:rsid w:val="39F3606A"/>
    <w:rsid w:val="3A5D106E"/>
    <w:rsid w:val="3B535B4C"/>
    <w:rsid w:val="3BBB76A8"/>
    <w:rsid w:val="3BE320AA"/>
    <w:rsid w:val="3BF225D0"/>
    <w:rsid w:val="3CA41B36"/>
    <w:rsid w:val="3D7108C3"/>
    <w:rsid w:val="3E503499"/>
    <w:rsid w:val="3F186C24"/>
    <w:rsid w:val="3F505E76"/>
    <w:rsid w:val="3F53351E"/>
    <w:rsid w:val="3F9C072C"/>
    <w:rsid w:val="3FF67F86"/>
    <w:rsid w:val="407B790C"/>
    <w:rsid w:val="410E62F6"/>
    <w:rsid w:val="416D49D0"/>
    <w:rsid w:val="41F3508B"/>
    <w:rsid w:val="42662959"/>
    <w:rsid w:val="446E1CB0"/>
    <w:rsid w:val="45627187"/>
    <w:rsid w:val="45DB5B0C"/>
    <w:rsid w:val="47474EBB"/>
    <w:rsid w:val="48033C6A"/>
    <w:rsid w:val="48553B41"/>
    <w:rsid w:val="48A23151"/>
    <w:rsid w:val="48C4060E"/>
    <w:rsid w:val="48D47E9D"/>
    <w:rsid w:val="4A2711EF"/>
    <w:rsid w:val="4C531418"/>
    <w:rsid w:val="4E563D55"/>
    <w:rsid w:val="4F1C4F7B"/>
    <w:rsid w:val="511C737F"/>
    <w:rsid w:val="513C481F"/>
    <w:rsid w:val="5225109E"/>
    <w:rsid w:val="526F0143"/>
    <w:rsid w:val="5314694D"/>
    <w:rsid w:val="53B17CFB"/>
    <w:rsid w:val="53D80902"/>
    <w:rsid w:val="53F86604"/>
    <w:rsid w:val="541C6A29"/>
    <w:rsid w:val="54646BF9"/>
    <w:rsid w:val="55B3632E"/>
    <w:rsid w:val="566A31FD"/>
    <w:rsid w:val="56EF64BC"/>
    <w:rsid w:val="57141C88"/>
    <w:rsid w:val="57C962BC"/>
    <w:rsid w:val="582C388A"/>
    <w:rsid w:val="58591DE7"/>
    <w:rsid w:val="59517483"/>
    <w:rsid w:val="59FC7866"/>
    <w:rsid w:val="5A3E7086"/>
    <w:rsid w:val="5AA953D4"/>
    <w:rsid w:val="5AB0027B"/>
    <w:rsid w:val="5AFE0392"/>
    <w:rsid w:val="5BC257B6"/>
    <w:rsid w:val="5BEA1AED"/>
    <w:rsid w:val="5D946397"/>
    <w:rsid w:val="5F5A378D"/>
    <w:rsid w:val="5F735A8E"/>
    <w:rsid w:val="60764804"/>
    <w:rsid w:val="626F13C0"/>
    <w:rsid w:val="62A31959"/>
    <w:rsid w:val="637B45E5"/>
    <w:rsid w:val="63BF4E8A"/>
    <w:rsid w:val="64651BCA"/>
    <w:rsid w:val="657A260E"/>
    <w:rsid w:val="65A2653D"/>
    <w:rsid w:val="67430DF9"/>
    <w:rsid w:val="67551241"/>
    <w:rsid w:val="6774649A"/>
    <w:rsid w:val="689160A9"/>
    <w:rsid w:val="6A170517"/>
    <w:rsid w:val="6A2E278B"/>
    <w:rsid w:val="6AE23347"/>
    <w:rsid w:val="6AFD4E7F"/>
    <w:rsid w:val="6B4B5AD9"/>
    <w:rsid w:val="6D941F4D"/>
    <w:rsid w:val="6E0076E6"/>
    <w:rsid w:val="70914CB3"/>
    <w:rsid w:val="70CF2BDD"/>
    <w:rsid w:val="712A520D"/>
    <w:rsid w:val="717A4296"/>
    <w:rsid w:val="71B35727"/>
    <w:rsid w:val="727C4BFF"/>
    <w:rsid w:val="73572572"/>
    <w:rsid w:val="73B200F8"/>
    <w:rsid w:val="747F0394"/>
    <w:rsid w:val="758A0646"/>
    <w:rsid w:val="75E47659"/>
    <w:rsid w:val="76676D67"/>
    <w:rsid w:val="77F23675"/>
    <w:rsid w:val="78582351"/>
    <w:rsid w:val="798C5E28"/>
    <w:rsid w:val="7A325784"/>
    <w:rsid w:val="7A68222D"/>
    <w:rsid w:val="7A744DE8"/>
    <w:rsid w:val="7B6D56BC"/>
    <w:rsid w:val="7C2E50CB"/>
    <w:rsid w:val="7C9222B0"/>
    <w:rsid w:val="7CB5749A"/>
    <w:rsid w:val="7D56662F"/>
    <w:rsid w:val="7D9B16F7"/>
    <w:rsid w:val="7E21207C"/>
    <w:rsid w:val="7EA95645"/>
    <w:rsid w:val="7F471D83"/>
    <w:rsid w:val="7F981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CB9F3D"/>
  <w15:docId w15:val="{38F72F7F-5ACF-42D9-B09D-3D014D7E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ind w:left="1134" w:hanging="1134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1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YJ--">
    <w:name w:val="YJ--正文"/>
    <w:basedOn w:val="Normal"/>
    <w:qFormat/>
    <w:pPr>
      <w:widowControl w:val="0"/>
      <w:overflowPunct/>
      <w:autoSpaceDE/>
      <w:autoSpaceDN/>
      <w:adjustRightInd/>
      <w:spacing w:before="156" w:after="156" w:line="360" w:lineRule="auto"/>
      <w:ind w:firstLineChars="200" w:firstLine="420"/>
      <w:jc w:val="both"/>
      <w:textAlignment w:val="auto"/>
    </w:pPr>
    <w:rPr>
      <w:rFonts w:cs="SimSun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2BD7DA-D976-4E94-BC5C-0AD3C4B8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2</cp:revision>
  <cp:lastPrinted>2016-01-21T00:16:00Z</cp:lastPrinted>
  <dcterms:created xsi:type="dcterms:W3CDTF">2018-02-16T21:41:00Z</dcterms:created>
  <dcterms:modified xsi:type="dcterms:W3CDTF">2018-02-16T21:41:00Z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2052-10.8.0.5918</vt:lpwstr>
  </property>
</Properties>
</file>